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uppressAutoHyphens w:val="false"/>
        <w:jc w:val="center"/>
      </w:pPr>
      <w:r>
        <w:rPr>
          <w:rFonts w:ascii="Arial" w:hAnsi="Arial"/>
          <w:b/>
          <w:lang w:bidi="ar-SA" w:eastAsia="en-US" w:val="mn-MN"/>
        </w:rPr>
        <w:t xml:space="preserve">МОНГОЛ УЛСЫН ИХ ХУРЛЫН </w:t>
      </w:r>
    </w:p>
    <w:p>
      <w:pPr>
        <w:pStyle w:val="style0"/>
        <w:widowControl/>
        <w:suppressAutoHyphens w:val="false"/>
        <w:jc w:val="center"/>
      </w:pPr>
      <w:r>
        <w:rPr>
          <w:rFonts w:ascii="Arial" w:hAnsi="Arial"/>
          <w:b/>
          <w:shd w:fill="FFFFFF" w:val="clear"/>
          <w:lang w:bidi="ar-SA" w:eastAsia="en-US" w:val="mn-MN"/>
        </w:rPr>
        <w:t>2018 ОНЫ НАМРЫН ЭЭЛЖИТ ЧУУЛГАНЫ</w:t>
      </w:r>
      <w:r>
        <w:rPr>
          <w:rFonts w:ascii="Arial" w:hAnsi="Arial"/>
          <w:shd w:fill="FFFFFF" w:val="clear"/>
          <w:lang w:bidi="ar-SA" w:eastAsia="en-US" w:val="mn-MN"/>
        </w:rPr>
        <w:t xml:space="preserve"> </w:t>
      </w:r>
    </w:p>
    <w:p>
      <w:pPr>
        <w:pStyle w:val="style0"/>
        <w:widowControl/>
        <w:suppressAutoHyphens w:val="false"/>
        <w:jc w:val="center"/>
      </w:pPr>
      <w:r>
        <w:rPr>
          <w:rFonts w:ascii="Arial" w:hAnsi="Arial"/>
          <w:b/>
          <w:shd w:fill="FFFFFF" w:val="clear"/>
          <w:lang w:bidi="ar-SA" w:eastAsia="en-US" w:val="mn-MN"/>
        </w:rPr>
        <w:t>ХҮНИЙ ЭРХИЙН ДЭД</w:t>
      </w:r>
      <w:r>
        <w:rPr>
          <w:rFonts w:ascii="Arial" w:hAnsi="Arial"/>
          <w:lang w:bidi="ar-SA" w:eastAsia="en-US" w:val="mn-MN"/>
        </w:rPr>
        <w:t xml:space="preserve"> </w:t>
      </w:r>
      <w:r>
        <w:rPr>
          <w:rFonts w:ascii="Arial" w:hAnsi="Arial"/>
          <w:b/>
          <w:lang w:bidi="ar-SA" w:eastAsia="en-US" w:val="mn-MN"/>
        </w:rPr>
        <w:t xml:space="preserve">ХОРООНЫ 10 ДУГААР САРЫН 30-НЫ </w:t>
      </w:r>
    </w:p>
    <w:p>
      <w:pPr>
        <w:pStyle w:val="style0"/>
        <w:widowControl/>
        <w:suppressAutoHyphens w:val="false"/>
        <w:jc w:val="center"/>
      </w:pPr>
      <w:r>
        <w:rPr>
          <w:rFonts w:ascii="Arial" w:hAnsi="Arial"/>
          <w:b/>
          <w:lang w:bidi="ar-SA" w:eastAsia="en-US" w:val="mn-MN"/>
        </w:rPr>
        <w:t xml:space="preserve">ӨДӨР /МЯГМАР ГАРАГ/-ИЙН ХУРАЛДААНЫ </w:t>
      </w:r>
    </w:p>
    <w:p>
      <w:pPr>
        <w:pStyle w:val="style0"/>
        <w:widowControl/>
        <w:suppressAutoHyphens w:val="false"/>
        <w:jc w:val="center"/>
      </w:pPr>
      <w:r>
        <w:rPr>
          <w:rFonts w:ascii="Arial" w:hAnsi="Arial"/>
          <w:b/>
          <w:lang w:bidi="ar-SA" w:eastAsia="en-US" w:val="mn-MN"/>
        </w:rPr>
        <w:t>ТЭМДЭГЛЭЛИЙН ТОВЬЁГ</w:t>
      </w:r>
    </w:p>
    <w:p>
      <w:pPr>
        <w:pStyle w:val="style0"/>
        <w:widowControl/>
        <w:suppressAutoHyphens w:val="false"/>
        <w:jc w:val="center"/>
      </w:pPr>
      <w:r>
        <w:rPr/>
      </w:r>
    </w:p>
    <w:tbl>
      <w:tblPr>
        <w:jc w:val="left"/>
        <w:tblInd w:type="dxa" w:w="-217"/>
        <w:tblBorders>
          <w:top w:color="000001" w:space="0" w:sz="8" w:val="single"/>
          <w:left w:color="000001" w:space="0" w:sz="8" w:val="single"/>
          <w:bottom w:color="000001" w:space="0" w:sz="8" w:val="single"/>
        </w:tblBorders>
      </w:tblPr>
      <w:tblGrid>
        <w:gridCol w:w="594"/>
        <w:gridCol w:w="7193"/>
        <w:gridCol w:w="1636"/>
      </w:tblGrid>
      <w:tr>
        <w:trPr>
          <w:cantSplit w:val="false"/>
        </w:trPr>
        <w:tc>
          <w:tcPr>
            <w:tcW w:type="dxa" w:w="594"/>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0"/>
              <w:widowControl/>
              <w:suppressAutoHyphens w:val="false"/>
              <w:jc w:val="center"/>
            </w:pPr>
            <w:r>
              <w:rPr>
                <w:rFonts w:ascii="Arial" w:hAnsi="Arial"/>
                <w:color w:val="000000"/>
                <w:lang w:bidi="ar-SA" w:eastAsia="en-US"/>
              </w:rPr>
              <w:t>№</w:t>
            </w:r>
          </w:p>
        </w:tc>
        <w:tc>
          <w:tcPr>
            <w:tcW w:type="dxa" w:w="7193"/>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0"/>
              <w:widowControl/>
              <w:suppressAutoHyphens w:val="false"/>
              <w:jc w:val="center"/>
            </w:pPr>
            <w:r>
              <w:rPr>
                <w:rFonts w:ascii="Arial" w:hAnsi="Arial"/>
                <w:b/>
                <w:i/>
                <w:color w:val="000000"/>
                <w:lang w:bidi="ar-SA" w:eastAsia="en-US" w:val="mn-MN"/>
              </w:rPr>
              <w:t>Баримтын агуулга</w:t>
            </w:r>
          </w:p>
        </w:tc>
        <w:tc>
          <w:tcPr>
            <w:tcW w:type="dxa" w:w="1636"/>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0"/>
              <w:widowControl/>
              <w:suppressAutoHyphens w:val="false"/>
              <w:jc w:val="center"/>
            </w:pPr>
            <w:r>
              <w:rPr>
                <w:rFonts w:ascii="Arial" w:hAnsi="Arial"/>
                <w:b/>
                <w:i/>
                <w:color w:val="000000"/>
                <w:lang w:bidi="ar-SA" w:eastAsia="en-US" w:val="mn-MN"/>
              </w:rPr>
              <w:t>Хуудасны дугаар</w:t>
            </w:r>
          </w:p>
        </w:tc>
      </w:tr>
      <w:tr>
        <w:trPr>
          <w:cantSplit w:val="false"/>
        </w:trPr>
        <w:tc>
          <w:tcPr>
            <w:tcW w:type="dxa" w:w="594"/>
            <w:vMerge w:val="restart"/>
            <w:tcBorders>
              <w:left w:color="000001" w:space="0" w:sz="8" w:val="single"/>
              <w:bottom w:color="000001" w:space="0" w:sz="8" w:val="single"/>
            </w:tcBorders>
            <w:shd w:fill="FFFFFF" w:val="clear"/>
            <w:tcMar>
              <w:top w:type="dxa" w:w="0"/>
              <w:left w:type="dxa" w:w="10"/>
              <w:bottom w:type="dxa" w:w="0"/>
              <w:right w:type="dxa" w:w="10"/>
            </w:tcMar>
          </w:tcPr>
          <w:p>
            <w:pPr>
              <w:pStyle w:val="style0"/>
              <w:widowControl/>
              <w:suppressAutoHyphens w:val="false"/>
              <w:jc w:val="center"/>
            </w:pPr>
            <w:r>
              <w:rPr>
                <w:rFonts w:ascii="Arial" w:hAnsi="Arial"/>
                <w:color w:val="000000"/>
                <w:lang w:bidi="ar-SA" w:eastAsia="en-US" w:val="mn-MN"/>
              </w:rPr>
              <w:t>1</w:t>
            </w:r>
          </w:p>
          <w:p>
            <w:pPr>
              <w:pStyle w:val="style0"/>
              <w:widowControl/>
              <w:suppressAutoHyphens w:val="false"/>
              <w:jc w:val="center"/>
            </w:pPr>
            <w:r>
              <w:rPr>
                <w:rFonts w:ascii="Arial" w:hAnsi="Arial"/>
                <w:lang w:bidi="ar-SA" w:eastAsia="en-US" w:val="mn-MN"/>
              </w:rPr>
              <w:t>2</w:t>
            </w:r>
          </w:p>
        </w:tc>
        <w:tc>
          <w:tcPr>
            <w:tcW w:type="dxa" w:w="7193"/>
            <w:tcBorders>
              <w:left w:color="000001" w:space="0" w:sz="8" w:val="single"/>
              <w:bottom w:color="000001" w:space="0" w:sz="8" w:val="single"/>
            </w:tcBorders>
            <w:shd w:fill="FFFFFF" w:val="clear"/>
            <w:tcMar>
              <w:top w:type="dxa" w:w="0"/>
              <w:left w:type="dxa" w:w="10"/>
              <w:bottom w:type="dxa" w:w="0"/>
              <w:right w:type="dxa" w:w="10"/>
            </w:tcMar>
          </w:tcPr>
          <w:p>
            <w:pPr>
              <w:pStyle w:val="style0"/>
              <w:widowControl/>
              <w:suppressAutoHyphens w:val="false"/>
            </w:pPr>
            <w:r>
              <w:rPr>
                <w:rFonts w:ascii="Arial" w:hAnsi="Arial"/>
                <w:color w:val="000000"/>
                <w:lang w:bidi="ar-SA" w:eastAsia="en-US" w:val="mn-MN"/>
              </w:rPr>
              <w:t>Хуралдааны товч тэмдэглэл</w:t>
            </w:r>
          </w:p>
        </w:tc>
        <w:tc>
          <w:tcPr>
            <w:tcW w:type="dxa" w:w="163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0"/>
              <w:widowControl/>
              <w:suppressAutoHyphens w:val="false"/>
              <w:jc w:val="center"/>
            </w:pPr>
            <w:r>
              <w:rPr>
                <w:rFonts w:ascii="Arial" w:hAnsi="Arial"/>
                <w:lang w:bidi="ar-SA" w:eastAsia="en-US" w:val="mn-MN"/>
              </w:rPr>
              <w:t>1-2</w:t>
            </w:r>
          </w:p>
        </w:tc>
      </w:tr>
      <w:tr>
        <w:trPr>
          <w:cantSplit w:val="false"/>
        </w:trPr>
        <w:tc>
          <w:tcPr>
            <w:tcW w:type="dxa" w:w="594"/>
            <w:vMerge w:val="continue"/>
            <w:tcBorders>
              <w:left w:color="000001" w:space="0" w:sz="8" w:val="single"/>
              <w:bottom w:color="000001" w:space="0" w:sz="8" w:val="single"/>
            </w:tcBorders>
            <w:shd w:fill="FFFFFF" w:val="clear"/>
            <w:tcMar>
              <w:top w:type="dxa" w:w="0"/>
              <w:left w:type="dxa" w:w="10"/>
              <w:bottom w:type="dxa" w:w="0"/>
              <w:right w:type="dxa" w:w="10"/>
            </w:tcMar>
            <w:vAlign w:val="center"/>
          </w:tcPr>
          <w:p>
            <w:pPr>
              <w:pStyle w:val="style0"/>
              <w:widowControl/>
              <w:suppressAutoHyphens w:val="false"/>
            </w:pPr>
            <w:r>
              <w:rPr/>
            </w:r>
          </w:p>
        </w:tc>
        <w:tc>
          <w:tcPr>
            <w:tcW w:type="dxa" w:w="7193"/>
            <w:tcBorders>
              <w:left w:color="000001" w:space="0" w:sz="8" w:val="single"/>
              <w:bottom w:color="000001" w:space="0" w:sz="8" w:val="single"/>
            </w:tcBorders>
            <w:shd w:fill="FFFFFF" w:val="clear"/>
            <w:tcMar>
              <w:top w:type="dxa" w:w="0"/>
              <w:left w:type="dxa" w:w="10"/>
              <w:bottom w:type="dxa" w:w="0"/>
              <w:right w:type="dxa" w:w="10"/>
            </w:tcMar>
          </w:tcPr>
          <w:p>
            <w:pPr>
              <w:pStyle w:val="style0"/>
              <w:widowControl/>
              <w:suppressAutoHyphens w:val="false"/>
            </w:pPr>
            <w:r>
              <w:rPr>
                <w:rFonts w:ascii="Arial" w:hAnsi="Arial"/>
                <w:color w:val="000000"/>
                <w:lang w:bidi="ar-SA" w:eastAsia="en-US" w:val="mn-MN"/>
              </w:rPr>
              <w:t>Дэлгэрэнгүй тэмдэглэл</w:t>
            </w:r>
          </w:p>
        </w:tc>
        <w:tc>
          <w:tcPr>
            <w:tcW w:type="dxa" w:w="163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0"/>
              <w:widowControl/>
              <w:suppressAutoHyphens w:val="false"/>
              <w:jc w:val="center"/>
            </w:pPr>
            <w:r>
              <w:rPr>
                <w:rFonts w:ascii="Arial" w:hAnsi="Arial"/>
                <w:lang w:bidi="ar-SA" w:eastAsia="en-US" w:val="mn-MN"/>
              </w:rPr>
              <w:t>3-1</w:t>
            </w:r>
            <w:r>
              <w:rPr>
                <w:rFonts w:ascii="Arial" w:hAnsi="Arial"/>
                <w:lang w:bidi="ar-SA" w:eastAsia="en-US" w:val="mn-MN"/>
              </w:rPr>
              <w:t>9</w:t>
            </w:r>
          </w:p>
        </w:tc>
      </w:tr>
      <w:tr>
        <w:trPr>
          <w:cantSplit w:val="false"/>
        </w:trPr>
        <w:tc>
          <w:tcPr>
            <w:tcW w:type="dxa" w:w="594"/>
            <w:vMerge w:val="continue"/>
            <w:tcBorders>
              <w:left w:color="000001" w:space="0" w:sz="8" w:val="single"/>
              <w:bottom w:color="000001" w:space="0" w:sz="8" w:val="single"/>
            </w:tcBorders>
            <w:shd w:fill="FFFFFF" w:val="clear"/>
            <w:tcMar>
              <w:top w:type="dxa" w:w="0"/>
              <w:left w:type="dxa" w:w="10"/>
              <w:bottom w:type="dxa" w:w="0"/>
              <w:right w:type="dxa" w:w="10"/>
            </w:tcMar>
            <w:vAlign w:val="center"/>
          </w:tcPr>
          <w:p>
            <w:pPr>
              <w:pStyle w:val="style0"/>
              <w:widowControl/>
              <w:suppressAutoHyphens w:val="false"/>
            </w:pPr>
            <w:r>
              <w:rPr/>
            </w:r>
          </w:p>
        </w:tc>
        <w:tc>
          <w:tcPr>
            <w:tcW w:type="dxa" w:w="7193"/>
            <w:tcBorders>
              <w:left w:color="000001" w:space="0" w:sz="8" w:val="single"/>
              <w:bottom w:color="000001" w:space="0" w:sz="8" w:val="single"/>
            </w:tcBorders>
            <w:shd w:fill="FFFFFF" w:val="clear"/>
            <w:tcMar>
              <w:top w:type="dxa" w:w="0"/>
              <w:left w:type="dxa" w:w="10"/>
              <w:bottom w:type="dxa" w:w="0"/>
              <w:right w:type="dxa" w:w="10"/>
            </w:tcMar>
          </w:tcPr>
          <w:p>
            <w:pPr>
              <w:pStyle w:val="style0"/>
              <w:widowControl/>
              <w:suppressAutoHyphens w:val="false"/>
              <w:jc w:val="both"/>
            </w:pPr>
            <w:r>
              <w:rPr>
                <w:rFonts w:ascii="Arial" w:hAnsi="Arial"/>
                <w:color w:val="000000"/>
                <w:shd w:fill="FFFFFF" w:val="clear"/>
                <w:lang w:bidi="ar-SA" w:eastAsia="en-US" w:val="mn-MN"/>
              </w:rPr>
              <w:t>1.Монгол Улс дахь Хүний эрх, эрх чөлөөний байдлын талаарх Хүний эрхийн Үндэсний Комиссын 17 дахь илтгэл</w:t>
            </w:r>
          </w:p>
        </w:tc>
        <w:tc>
          <w:tcPr>
            <w:tcW w:type="dxa" w:w="163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0"/>
              <w:widowControl/>
              <w:suppressAutoHyphens w:val="false"/>
              <w:jc w:val="center"/>
            </w:pPr>
            <w:r>
              <w:rPr/>
            </w:r>
          </w:p>
          <w:p>
            <w:pPr>
              <w:pStyle w:val="style0"/>
              <w:widowControl/>
              <w:suppressAutoHyphens w:val="false"/>
              <w:jc w:val="center"/>
            </w:pPr>
            <w:r>
              <w:rPr>
                <w:rFonts w:ascii="Arial" w:hAnsi="Arial"/>
                <w:lang w:bidi="ar-SA" w:eastAsia="en-US" w:val="mn-MN"/>
              </w:rPr>
              <w:t>3-1</w:t>
            </w:r>
            <w:r>
              <w:rPr>
                <w:rFonts w:ascii="Arial" w:hAnsi="Arial"/>
                <w:lang w:bidi="ar-SA" w:eastAsia="en-US" w:val="mn-MN"/>
              </w:rPr>
              <w:t>9</w:t>
            </w:r>
          </w:p>
        </w:tc>
      </w:tr>
    </w:tbl>
    <w:p>
      <w:pPr>
        <w:pStyle w:val="style0"/>
        <w:widowControl/>
        <w:suppressAutoHyphens w:val="false"/>
        <w:jc w:val="center"/>
      </w:pPr>
      <w:r>
        <w:rPr>
          <w:rFonts w:ascii="Arial" w:hAnsi="Arial"/>
          <w:b/>
          <w:lang w:bidi="ar-SA" w:eastAsia="en-US" w:val="mn-MN"/>
        </w:rPr>
      </w:r>
    </w:p>
    <w:p>
      <w:pPr>
        <w:pStyle w:val="style0"/>
        <w:widowControl/>
        <w:suppressAutoHyphens w:val="false"/>
        <w:jc w:val="center"/>
      </w:pPr>
      <w:r>
        <w:rPr>
          <w:rFonts w:ascii="Arial" w:hAnsi="Arial"/>
          <w:b/>
          <w:lang w:bidi="ar-SA" w:eastAsia="en-US" w:val="mn-MN"/>
        </w:rPr>
        <w:t>Монгол Улсын Их Хурлын 2018 оны намрын ээлжит чуулганы</w:t>
      </w:r>
    </w:p>
    <w:p>
      <w:pPr>
        <w:pStyle w:val="style0"/>
        <w:widowControl/>
        <w:suppressAutoHyphens w:val="false"/>
        <w:jc w:val="center"/>
      </w:pPr>
      <w:r>
        <w:rPr>
          <w:rFonts w:ascii="Arial" w:hAnsi="Arial"/>
          <w:b/>
          <w:lang w:bidi="ar-SA" w:eastAsia="en-US" w:val="mn-MN"/>
        </w:rPr>
        <w:t>Хүний эрхийн дэд</w:t>
      </w:r>
      <w:r>
        <w:rPr>
          <w:rFonts w:ascii="Arial" w:hAnsi="Arial"/>
          <w:lang w:bidi="ar-SA" w:eastAsia="en-US" w:val="mn-MN"/>
        </w:rPr>
        <w:t xml:space="preserve"> </w:t>
      </w:r>
      <w:r>
        <w:rPr>
          <w:rFonts w:ascii="Arial" w:hAnsi="Arial"/>
          <w:b/>
          <w:lang w:bidi="ar-SA" w:eastAsia="en-US" w:val="mn-MN"/>
        </w:rPr>
        <w:t>хорооны 10 дугаар сарын 30-ны өдөр</w:t>
      </w:r>
      <w:r>
        <w:rPr>
          <w:rFonts w:ascii="Arial" w:hAnsi="Arial"/>
          <w:lang w:bidi="ar-SA" w:eastAsia="en-US" w:val="mn-MN"/>
        </w:rPr>
        <w:t xml:space="preserve"> </w:t>
      </w:r>
    </w:p>
    <w:p>
      <w:pPr>
        <w:pStyle w:val="style0"/>
        <w:widowControl/>
        <w:suppressAutoHyphens w:val="false"/>
        <w:jc w:val="center"/>
      </w:pPr>
      <w:r>
        <w:rPr>
          <w:rFonts w:ascii="Arial" w:hAnsi="Arial"/>
          <w:b/>
          <w:lang w:bidi="ar-SA" w:eastAsia="en-US" w:val="mn-MN"/>
        </w:rPr>
        <w:t>/Мягмар гараг/-ийн хуралдааны товч тэмдэглэл</w:t>
      </w:r>
    </w:p>
    <w:p>
      <w:pPr>
        <w:pStyle w:val="style0"/>
        <w:widowControl/>
        <w:suppressAutoHyphens w:val="false"/>
        <w:jc w:val="center"/>
      </w:pPr>
      <w:r>
        <w:rPr/>
      </w:r>
    </w:p>
    <w:p>
      <w:pPr>
        <w:pStyle w:val="style0"/>
        <w:widowControl/>
        <w:suppressAutoHyphens w:val="false"/>
        <w:jc w:val="center"/>
      </w:pPr>
      <w:r>
        <w:rPr/>
      </w:r>
    </w:p>
    <w:p>
      <w:pPr>
        <w:pStyle w:val="style0"/>
        <w:widowControl/>
        <w:suppressAutoHyphens w:val="false"/>
        <w:jc w:val="both"/>
      </w:pPr>
      <w:bookmarkStart w:id="0" w:name="__DdeLink__1676_556123073"/>
      <w:bookmarkStart w:id="1" w:name="__UnoMark__11151_2131316772"/>
      <w:bookmarkEnd w:id="0"/>
      <w:bookmarkEnd w:id="1"/>
      <w:r>
        <w:rPr>
          <w:rFonts w:ascii="Arial" w:hAnsi="Arial"/>
          <w:lang w:bidi="ar-SA" w:eastAsia="en-US" w:val="mn-MN"/>
        </w:rPr>
        <w:tab/>
        <w:t>Хүний эрхийн дэд хорооны дарга Н.Оюундарь ирц, хэлэлцэх асуудлын дарааллыг танилцуулж, хуралдааныг даргалав.</w:t>
      </w:r>
    </w:p>
    <w:p>
      <w:pPr>
        <w:pStyle w:val="style0"/>
        <w:widowControl/>
        <w:suppressAutoHyphens w:val="false"/>
        <w:jc w:val="both"/>
      </w:pPr>
      <w:r>
        <w:rPr/>
      </w:r>
    </w:p>
    <w:p>
      <w:pPr>
        <w:pStyle w:val="style0"/>
        <w:widowControl/>
        <w:suppressAutoHyphens w:val="false"/>
        <w:jc w:val="both"/>
      </w:pPr>
      <w:r>
        <w:rPr>
          <w:rFonts w:ascii="Arial" w:hAnsi="Arial"/>
          <w:i/>
          <w:lang w:bidi="ar-SA" w:eastAsia="en-US" w:val="mn-MN"/>
        </w:rPr>
        <w:tab/>
        <w:t xml:space="preserve">Хуралдаанд ирвэл зохих 9 гишүүнээс 5 гишүүн ирж, 55.6 хувийн ирцтэйгээр хуралдаан 14 цаг 03 минутад Төрийн ордны “Г” танхимд эхлэв. </w:t>
      </w:r>
    </w:p>
    <w:p>
      <w:pPr>
        <w:pStyle w:val="style0"/>
        <w:widowControl/>
        <w:suppressAutoHyphens w:val="false"/>
        <w:jc w:val="both"/>
      </w:pPr>
      <w:r>
        <w:rPr/>
      </w:r>
    </w:p>
    <w:p>
      <w:pPr>
        <w:pStyle w:val="style0"/>
        <w:widowControl/>
        <w:suppressAutoHyphens w:val="false"/>
        <w:jc w:val="both"/>
      </w:pPr>
      <w:r>
        <w:rPr>
          <w:rFonts w:ascii="Arial" w:hAnsi="Arial"/>
          <w:i/>
          <w:color w:val="000000"/>
          <w:lang w:bidi="ar-SA" w:eastAsia="en-US" w:val="mn-MN"/>
        </w:rPr>
        <w:tab/>
        <w:t>Чөлөөтэй:  Д.Ганболд, Б.Дэлгэрсайхан, Н.Учрал.</w:t>
      </w:r>
    </w:p>
    <w:p>
      <w:pPr>
        <w:pStyle w:val="style0"/>
        <w:widowControl/>
        <w:suppressAutoHyphens w:val="false"/>
        <w:jc w:val="both"/>
      </w:pPr>
      <w:r>
        <w:rPr>
          <w:rFonts w:ascii="Arial" w:hAnsi="Arial"/>
          <w:i/>
          <w:color w:val="000000"/>
          <w:lang w:bidi="ar-SA" w:eastAsia="en-US" w:val="mn-MN"/>
        </w:rPr>
        <w:tab/>
        <w:t>Эмнэлгийн чөлөөтэй: Л.Болд.</w:t>
      </w:r>
    </w:p>
    <w:p>
      <w:pPr>
        <w:pStyle w:val="style0"/>
        <w:widowControl/>
        <w:suppressAutoHyphens w:val="false"/>
        <w:jc w:val="both"/>
      </w:pPr>
      <w:r>
        <w:rPr/>
      </w:r>
    </w:p>
    <w:p>
      <w:pPr>
        <w:pStyle w:val="style0"/>
        <w:widowControl/>
        <w:suppressAutoHyphens w:val="false"/>
        <w:jc w:val="both"/>
      </w:pPr>
      <w:r>
        <w:rPr>
          <w:rFonts w:ascii="Arial" w:hAnsi="Arial"/>
          <w:color w:val="000000"/>
          <w:shd w:fill="FFFFFF" w:val="clear"/>
          <w:lang w:bidi="ar-SA" w:eastAsia="en-US"/>
        </w:rPr>
        <w:t>          </w:t>
      </w:r>
      <w:r>
        <w:rPr>
          <w:rFonts w:ascii="Arial" w:hAnsi="Arial"/>
          <w:i/>
          <w:iCs/>
          <w:color w:val="000000"/>
          <w:shd w:fill="FFFFFF" w:val="clear"/>
          <w:lang w:bidi="ar-SA" w:eastAsia="en-US"/>
        </w:rPr>
        <w:t xml:space="preserve">  </w:t>
      </w:r>
      <w:r>
        <w:rPr>
          <w:rFonts w:ascii="Arial" w:hAnsi="Arial"/>
          <w:b/>
          <w:i/>
          <w:iCs/>
          <w:color w:val="000000"/>
          <w:shd w:fill="FFFFFF" w:val="clear"/>
          <w:lang w:bidi="ar-SA" w:eastAsia="en-US" w:val="mn-MN"/>
        </w:rPr>
        <w:t>Нэг.</w:t>
      </w:r>
      <w:r>
        <w:rPr>
          <w:rFonts w:ascii="Arial" w:hAnsi="Arial"/>
          <w:i/>
          <w:iCs/>
          <w:color w:val="000000"/>
          <w:shd w:fill="FFFFFF" w:val="clear"/>
          <w:lang w:bidi="ar-SA" w:eastAsia="en-US" w:val="mn-MN"/>
        </w:rPr>
        <w:t xml:space="preserve"> </w:t>
      </w:r>
      <w:r>
        <w:rPr>
          <w:rFonts w:ascii="Arial" w:hAnsi="Arial"/>
          <w:b/>
          <w:i/>
          <w:iCs/>
          <w:color w:val="000000"/>
          <w:shd w:fill="FFFFFF" w:val="clear"/>
          <w:lang w:bidi="ar-SA" w:eastAsia="en-US" w:val="mn-MN"/>
        </w:rPr>
        <w:t>Монгол Улс дахь Хүний эрх, эрх чөлөөний байдлын талаарх Хүний эрхийн Үндэсний Комиссын 17 дахь илтгэл</w:t>
      </w:r>
    </w:p>
    <w:p>
      <w:pPr>
        <w:pStyle w:val="style0"/>
        <w:widowControl/>
        <w:suppressAutoHyphens w:val="false"/>
        <w:jc w:val="both"/>
      </w:pPr>
      <w:r>
        <w:rPr/>
      </w:r>
    </w:p>
    <w:p>
      <w:pPr>
        <w:pStyle w:val="style0"/>
        <w:widowControl/>
        <w:suppressAutoHyphens w:val="false"/>
        <w:jc w:val="both"/>
      </w:pPr>
      <w:r>
        <w:rPr>
          <w:rFonts w:ascii="Arial" w:hAnsi="Arial"/>
          <w:shd w:fill="FFFFFF" w:val="clear"/>
          <w:lang w:bidi="ar-SA" w:eastAsia="en-US"/>
        </w:rPr>
        <w:t xml:space="preserve">            </w:t>
      </w:r>
      <w:r>
        <w:rPr>
          <w:rFonts w:ascii="Arial" w:hAnsi="Arial"/>
          <w:shd w:fill="FFFFFF" w:val="clear"/>
          <w:lang w:bidi="ar-SA" w:eastAsia="en-US" w:val="mn-MN"/>
        </w:rPr>
        <w:t>Хэлэлцэж буй асуудалтай холбогдуулан Хүний эрхийн Үндэсний Комиссын дарга Ж.Бямбадорж, мөн комиссын гишүүн П.Оюунчимэг, Комиссын Захиргаа, хамтын ажиллагааны хэлтсийн дарга Ө.Ундрах, Хэвлэл, мэдээлэл хариуцсан референт Э.Бадмаараг,  Барилга, хот байгуулалтын дэд сайд Ш.Лхамсүрэн, мөн яамны Хуулийн хэлтсийн дарга Б.Нямдорж, Хууль зүй, дотоод хэргийн яамны Төрийн нарийн бичгийн даргын үүргийг түр орлон гүйцэтгэгч Г.Билгүүн,  мөн яамны Гэрээ, эрхзүй, хамтын ажиллагааны газрын дарга Т.Бат-Өлзий, мөн газрын ахлах мэргэжилтэн Ч.Нарантуяа, Улсын ерөнхий прокурорын туслах прокурор, Шүүхийн шийдвэр гүйцэтгэх ажиллагаанд хяналт тавих хэлтсийн дарга Д.Отгонбаяр,  Шүүхийн шийдвэр гүйцэтгэх ерөнхий газрын тэргүүн дэд дарга Г.Элбэгсайхан,  Мэргэжлийн хяналтын ерөнхий газрын Хөдөлмөр, нийгэм хамгаалал, тусгай хяналтын газрын дарга Л.Төгсбаяр, Нийслэлийн Засаг даргын Дэд бүтэц, гэр хорооллын хөгжлийн асуудал хариуцсан орлогч П.Баярхүү  нар оролцов.</w:t>
      </w:r>
    </w:p>
    <w:p>
      <w:pPr>
        <w:pStyle w:val="style0"/>
        <w:widowControl/>
        <w:suppressAutoHyphens w:val="false"/>
        <w:jc w:val="both"/>
      </w:pPr>
      <w:r>
        <w:rPr>
          <w:rFonts w:ascii="Arial" w:hAnsi="Arial"/>
          <w:shd w:fill="FFFFFF" w:val="clear"/>
          <w:lang w:bidi="ar-SA" w:eastAsia="en-US"/>
        </w:rPr>
        <w:t> </w:t>
      </w:r>
    </w:p>
    <w:p>
      <w:pPr>
        <w:pStyle w:val="style0"/>
        <w:widowControl/>
        <w:suppressAutoHyphens w:val="false"/>
        <w:jc w:val="both"/>
      </w:pPr>
      <w:r>
        <w:rPr>
          <w:rFonts w:ascii="Arial" w:hAnsi="Arial"/>
          <w:color w:val="000000"/>
          <w:shd w:fill="FFFFFF" w:val="clear"/>
          <w:lang w:bidi="ar-SA" w:eastAsia="en-US" w:val="mn-MN"/>
        </w:rPr>
        <w:tab/>
        <w:t>Хуралдаанд Хууль зүйн байнгын хорооны ажлын албаны ахлах зөвлөх М.Үнэнбат,  референт Ч.Батбямба нар байлцав.</w:t>
      </w:r>
    </w:p>
    <w:p>
      <w:pPr>
        <w:pStyle w:val="style0"/>
        <w:widowControl/>
        <w:suppressAutoHyphens w:val="false"/>
      </w:pPr>
      <w:r>
        <w:rPr/>
      </w:r>
    </w:p>
    <w:p>
      <w:pPr>
        <w:pStyle w:val="style0"/>
        <w:widowControl/>
        <w:suppressAutoHyphens w:val="false"/>
        <w:jc w:val="both"/>
      </w:pPr>
      <w:r>
        <w:rPr>
          <w:rFonts w:ascii="Arial" w:hAnsi="Arial"/>
          <w:color w:val="000000"/>
          <w:shd w:fill="FFFFFF" w:val="clear"/>
          <w:lang w:bidi="ar-SA" w:eastAsia="en-US"/>
        </w:rPr>
        <w:t>           </w:t>
      </w:r>
      <w:r>
        <w:rPr>
          <w:rFonts w:ascii="Arial" w:hAnsi="Arial"/>
          <w:color w:val="000000"/>
          <w:shd w:fill="FFFFFF" w:val="clear"/>
          <w:lang w:bidi="ar-SA" w:eastAsia="en-US" w:val="mn-MN"/>
        </w:rPr>
        <w:t xml:space="preserve">Монгол Улс дахь Хүний эрх, эрх чөлөөний байдлын талаарх Хүний эрхийн Үндэсний Комиссын 17 дахь илтгэлийг Хүний эрхийн Үндэсний Комиссын дарга Ж.Бямбадорж танилцуулав. </w:t>
      </w:r>
    </w:p>
    <w:p>
      <w:pPr>
        <w:pStyle w:val="style0"/>
        <w:widowControl/>
        <w:suppressAutoHyphens w:val="false"/>
        <w:jc w:val="both"/>
      </w:pPr>
      <w:r>
        <w:rPr/>
      </w:r>
    </w:p>
    <w:p>
      <w:pPr>
        <w:pStyle w:val="style0"/>
        <w:widowControl/>
        <w:suppressAutoHyphens w:val="false"/>
        <w:jc w:val="both"/>
      </w:pPr>
      <w:r>
        <w:rPr>
          <w:rFonts w:ascii="Arial" w:hAnsi="Arial"/>
          <w:color w:val="000000"/>
          <w:shd w:fill="FFFFFF" w:val="clear"/>
          <w:lang w:bidi="ar-SA" w:eastAsia="en-US"/>
        </w:rPr>
        <w:t>          </w:t>
      </w:r>
      <w:r>
        <w:rPr>
          <w:rFonts w:ascii="Arial" w:hAnsi="Arial"/>
          <w:color w:val="000000"/>
          <w:shd w:fill="FFFFFF" w:val="clear"/>
          <w:lang w:bidi="ar-SA" w:eastAsia="en-US" w:val="mn-MN"/>
        </w:rPr>
        <w:t xml:space="preserve">Илтгэлтэй холбогдуулан Улсын Их Хурлын гишүүн Ж.Батзандан, Б.Пүрэвдорж, Н.Оюундарь нарын тавьсан асуултад Хүний эрхийн Үндэсний Комиссын дарга Ж.Бямбадорж, </w:t>
      </w:r>
      <w:r>
        <w:rPr>
          <w:rFonts w:ascii="Arial" w:hAnsi="Arial"/>
          <w:shd w:fill="FFFFFF" w:val="clear"/>
          <w:lang w:bidi="ar-SA" w:eastAsia="en-US" w:val="mn-MN"/>
        </w:rPr>
        <w:t>мөн Комиссын гишүүн П.Оюунчимэг, Мэргэжлийн хяналтын ерөнхий газрын Хөдөлмөр, нийгэм хамгаалал, тусгай хяналтын газрын дарга Л.Төгсбаяр нар</w:t>
      </w:r>
      <w:r>
        <w:rPr>
          <w:rFonts w:ascii="Arial" w:hAnsi="Arial"/>
          <w:color w:val="000000"/>
          <w:shd w:fill="FFFFFF" w:val="clear"/>
          <w:lang w:bidi="ar-SA" w:eastAsia="en-US" w:val="mn-MN"/>
        </w:rPr>
        <w:t xml:space="preserve"> хариулж, тайлбар хийв. </w:t>
      </w:r>
    </w:p>
    <w:p>
      <w:pPr>
        <w:pStyle w:val="style0"/>
        <w:widowControl/>
        <w:suppressAutoHyphens w:val="false"/>
        <w:jc w:val="both"/>
      </w:pPr>
      <w:r>
        <w:rPr>
          <w:rFonts w:ascii="Arial" w:hAnsi="Arial"/>
          <w:color w:val="000000"/>
          <w:shd w:fill="FFFFFF" w:val="clear"/>
          <w:lang w:bidi="ar-SA" w:eastAsia="en-US"/>
        </w:rPr>
        <w:t> </w:t>
      </w:r>
    </w:p>
    <w:p>
      <w:pPr>
        <w:pStyle w:val="style0"/>
        <w:widowControl/>
        <w:suppressAutoHyphens w:val="false"/>
        <w:ind w:firstLine="720" w:left="0" w:right="0"/>
        <w:jc w:val="both"/>
      </w:pPr>
      <w:r>
        <w:rPr>
          <w:rFonts w:ascii="Arial" w:hAnsi="Arial"/>
          <w:color w:val="000000"/>
          <w:shd w:fill="FFFFFF" w:val="clear"/>
          <w:lang w:bidi="ar-SA" w:eastAsia="en-US" w:val="mn-MN"/>
        </w:rPr>
        <w:t>Улсын Их Хурлын гишүүн Ж.Батзандан үг хэлэв.</w:t>
      </w:r>
    </w:p>
    <w:p>
      <w:pPr>
        <w:pStyle w:val="style0"/>
        <w:widowControl/>
        <w:suppressAutoHyphens w:val="false"/>
        <w:jc w:val="both"/>
      </w:pPr>
      <w:r>
        <w:rPr/>
      </w:r>
    </w:p>
    <w:p>
      <w:pPr>
        <w:pStyle w:val="style0"/>
        <w:widowControl/>
        <w:suppressAutoHyphens w:val="false"/>
        <w:jc w:val="both"/>
      </w:pPr>
      <w:r>
        <w:rPr>
          <w:rFonts w:ascii="Arial" w:hAnsi="Arial"/>
          <w:b/>
          <w:shd w:fill="FFFFFF" w:val="clear"/>
          <w:lang w:bidi="ar-SA" w:eastAsia="en-US" w:val="mn-MN"/>
        </w:rPr>
        <w:tab/>
        <w:t xml:space="preserve">Н.Оюундарь: </w:t>
      </w:r>
      <w:r>
        <w:rPr>
          <w:rFonts w:ascii="Arial" w:hAnsi="Arial"/>
          <w:shd w:fill="FFFFFF" w:val="clear"/>
          <w:lang w:bidi="ar-SA" w:eastAsia="en-US" w:val="mn-MN"/>
        </w:rPr>
        <w:t xml:space="preserve">- </w:t>
      </w:r>
      <w:r>
        <w:rPr>
          <w:rFonts w:ascii="Arial" w:hAnsi="Arial"/>
          <w:color w:val="000000"/>
          <w:shd w:fill="FFFFFF" w:val="clear"/>
          <w:lang w:bidi="ar-SA" w:eastAsia="en-US" w:val="mn-MN"/>
        </w:rPr>
        <w:t xml:space="preserve">Монгол Улс дахь Хүний эрх, эрх чөлөөний байдлын талаарх Хүний эрхийн Үндэсний Комиссын 17 дахь илтгэлийг дэмжиж, Хууль зүйн байнгын хороогоор хэлэлцүүлэх нь зүйтэй гэсэн саналыг дэмжье гэсэн </w:t>
      </w:r>
      <w:r>
        <w:rPr>
          <w:rFonts w:ascii="Arial" w:hAnsi="Arial"/>
          <w:bCs/>
          <w:color w:val="000000"/>
          <w:shd w:fill="FFFFFF" w:val="clear"/>
          <w:lang w:bidi="ar-SA" w:eastAsia="en-US" w:val="mn-MN"/>
        </w:rPr>
        <w:t xml:space="preserve">санал хураалт явуулъя. </w:t>
      </w:r>
    </w:p>
    <w:p>
      <w:pPr>
        <w:pStyle w:val="style0"/>
        <w:widowControl/>
        <w:suppressAutoHyphens w:val="false"/>
      </w:pPr>
      <w:r>
        <w:rPr/>
      </w:r>
    </w:p>
    <w:p>
      <w:pPr>
        <w:pStyle w:val="style0"/>
        <w:widowControl/>
        <w:suppressAutoHyphens w:val="false"/>
        <w:jc w:val="both"/>
      </w:pPr>
      <w:r>
        <w:rPr>
          <w:rFonts w:ascii="Arial" w:hAnsi="Arial"/>
          <w:shd w:fill="FFFFFF" w:val="clear"/>
          <w:lang w:bidi="ar-SA" w:eastAsia="en-US"/>
        </w:rPr>
        <w:t xml:space="preserve">            </w:t>
      </w:r>
      <w:r>
        <w:rPr>
          <w:rFonts w:ascii="Arial" w:hAnsi="Arial"/>
          <w:shd w:fill="FFFFFF" w:val="clear"/>
          <w:lang w:bidi="ar-SA" w:eastAsia="en-US" w:val="mn-MN"/>
        </w:rPr>
        <w:t>Зөвшөөрсөн:</w:t>
        <w:tab/>
        <w:t>4</w:t>
      </w:r>
    </w:p>
    <w:p>
      <w:pPr>
        <w:pStyle w:val="style0"/>
        <w:widowControl/>
        <w:suppressAutoHyphens w:val="false"/>
        <w:jc w:val="both"/>
      </w:pPr>
      <w:r>
        <w:rPr>
          <w:rFonts w:ascii="Arial" w:hAnsi="Arial"/>
          <w:shd w:fill="FFFFFF" w:val="clear"/>
          <w:lang w:bidi="ar-SA" w:eastAsia="en-US"/>
        </w:rPr>
        <w:t xml:space="preserve">            </w:t>
      </w:r>
      <w:r>
        <w:rPr>
          <w:rFonts w:ascii="Arial" w:hAnsi="Arial"/>
          <w:shd w:fill="FFFFFF" w:val="clear"/>
          <w:lang w:bidi="ar-SA" w:eastAsia="en-US" w:val="mn-MN"/>
        </w:rPr>
        <w:t>Татгалзсан:            1</w:t>
      </w:r>
    </w:p>
    <w:p>
      <w:pPr>
        <w:pStyle w:val="style0"/>
        <w:widowControl/>
        <w:suppressAutoHyphens w:val="false"/>
        <w:jc w:val="both"/>
      </w:pPr>
      <w:r>
        <w:rPr>
          <w:rFonts w:ascii="Arial" w:hAnsi="Arial"/>
          <w:shd w:fill="FFFFFF" w:val="clear"/>
          <w:lang w:bidi="ar-SA" w:eastAsia="en-US"/>
        </w:rPr>
        <w:t xml:space="preserve">            </w:t>
      </w:r>
      <w:r>
        <w:rPr>
          <w:rFonts w:ascii="Arial" w:hAnsi="Arial"/>
          <w:shd w:fill="FFFFFF" w:val="clear"/>
          <w:lang w:bidi="ar-SA" w:eastAsia="en-US" w:val="mn-MN"/>
        </w:rPr>
        <w:t>Бүгд:                       5</w:t>
      </w:r>
    </w:p>
    <w:p>
      <w:pPr>
        <w:pStyle w:val="style0"/>
        <w:widowControl/>
        <w:suppressAutoHyphens w:val="false"/>
      </w:pPr>
      <w:r>
        <w:rPr>
          <w:rFonts w:ascii="Arial" w:hAnsi="Arial"/>
          <w:color w:val="000000"/>
          <w:shd w:fill="FFFFFF" w:val="clear"/>
          <w:lang w:bidi="ar-SA" w:eastAsia="en-US"/>
        </w:rPr>
        <w:t xml:space="preserve">            </w:t>
      </w:r>
      <w:r>
        <w:rPr>
          <w:rFonts w:ascii="Arial" w:hAnsi="Arial"/>
          <w:color w:val="000000"/>
          <w:shd w:fill="FFFFFF" w:val="clear"/>
          <w:lang w:bidi="ar-SA" w:eastAsia="en-US" w:val="mn-MN"/>
        </w:rPr>
        <w:t xml:space="preserve">80.0 хувийн саналаар дэмжигдлээ. </w:t>
      </w:r>
    </w:p>
    <w:p>
      <w:pPr>
        <w:pStyle w:val="style0"/>
        <w:widowControl/>
        <w:suppressAutoHyphens w:val="false"/>
      </w:pPr>
      <w:r>
        <w:rPr>
          <w:rFonts w:ascii="Arial" w:hAnsi="Arial"/>
          <w:color w:val="000000"/>
          <w:shd w:fill="FFFFFF" w:val="clear"/>
          <w:lang w:bidi="ar-SA" w:eastAsia="en-US"/>
        </w:rPr>
        <w:t> </w:t>
      </w:r>
    </w:p>
    <w:p>
      <w:pPr>
        <w:pStyle w:val="style0"/>
        <w:widowControl/>
        <w:suppressAutoHyphens w:val="false"/>
        <w:ind w:firstLine="720" w:left="0" w:right="0"/>
        <w:jc w:val="both"/>
      </w:pPr>
      <w:r>
        <w:rPr>
          <w:rFonts w:ascii="Arial" w:hAnsi="Arial"/>
          <w:bCs/>
          <w:color w:val="000000"/>
          <w:shd w:fill="FFFFFF" w:val="clear"/>
          <w:lang w:bidi="ar-SA" w:eastAsia="en-US" w:val="mn-MN"/>
        </w:rPr>
        <w:t>Дэд хорооноос гарах санал, дүгнэлтийг Хууль зүйн байнгын хорооны хуралдаанд Хүний эрхийн дэд хорооны дарга Н.Оюундарь танилцуулахаар тогтов.</w:t>
      </w:r>
    </w:p>
    <w:p>
      <w:pPr>
        <w:pStyle w:val="style0"/>
        <w:widowControl/>
        <w:suppressAutoHyphens w:val="false"/>
        <w:jc w:val="both"/>
      </w:pPr>
      <w:r>
        <w:rPr>
          <w:rFonts w:ascii="Arial" w:hAnsi="Arial"/>
          <w:color w:val="000000"/>
          <w:shd w:fill="FFFFFF" w:val="clear"/>
          <w:lang w:bidi="ar-SA" w:eastAsia="en-US"/>
        </w:rPr>
        <w:t> </w:t>
      </w:r>
    </w:p>
    <w:p>
      <w:pPr>
        <w:pStyle w:val="style0"/>
        <w:widowControl/>
        <w:suppressAutoHyphens w:val="false"/>
        <w:jc w:val="both"/>
      </w:pPr>
      <w:r>
        <w:rPr>
          <w:rFonts w:ascii="Arial" w:hAnsi="Arial"/>
          <w:i/>
          <w:iCs/>
          <w:color w:val="000000"/>
          <w:shd w:fill="FFFFFF" w:val="clear"/>
          <w:lang w:bidi="ar-SA" w:eastAsia="en-US"/>
        </w:rPr>
        <w:t xml:space="preserve">            </w:t>
      </w:r>
      <w:r>
        <w:rPr>
          <w:rFonts w:ascii="Arial" w:hAnsi="Arial"/>
          <w:i/>
          <w:iCs/>
          <w:color w:val="000000"/>
          <w:shd w:fill="FFFFFF" w:val="clear"/>
          <w:lang w:bidi="ar-SA" w:eastAsia="en-US" w:val="mn-MN"/>
        </w:rPr>
        <w:t>Хуралдаан 56 минут үргэлжилж, 9 гишүүнээс 5 гишүүн ирж, 55.6 хувийн ирцтэйгээр 14 цаг 50 минутад өндөрлөв.</w:t>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Тэмдэглэлтэй танилцсан: </w:t>
      </w:r>
    </w:p>
    <w:p>
      <w:pPr>
        <w:pStyle w:val="style0"/>
        <w:widowControl/>
        <w:suppressAutoHyphens w:val="false"/>
        <w:jc w:val="both"/>
      </w:pPr>
      <w:r>
        <w:rPr>
          <w:rFonts w:ascii="Arial" w:hAnsi="Arial"/>
          <w:lang w:bidi="ar-SA" w:eastAsia="en-US" w:val="mn-MN"/>
        </w:rPr>
        <w:tab/>
        <w:t xml:space="preserve">ХҮНИЙ ЭРХИЙН ДЭД </w:t>
      </w:r>
    </w:p>
    <w:p>
      <w:pPr>
        <w:pStyle w:val="style0"/>
        <w:widowControl/>
        <w:suppressAutoHyphens w:val="false"/>
        <w:jc w:val="both"/>
      </w:pPr>
      <w:r>
        <w:rPr>
          <w:rFonts w:ascii="Arial" w:hAnsi="Arial"/>
          <w:lang w:bidi="ar-SA" w:eastAsia="en-US" w:val="mn-MN"/>
        </w:rPr>
        <w:tab/>
        <w:t>ХОРООНЫ ДАРГА</w:t>
        <w:tab/>
        <w:tab/>
        <w:tab/>
        <w:tab/>
        <w:tab/>
        <w:tab/>
        <w:t>Н.ОЮУНДАРЬ</w:t>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Тэмдэглэл хөтөлсөн: </w:t>
      </w:r>
    </w:p>
    <w:p>
      <w:pPr>
        <w:pStyle w:val="style0"/>
        <w:widowControl/>
        <w:suppressAutoHyphens w:val="false"/>
        <w:jc w:val="both"/>
      </w:pPr>
      <w:r>
        <w:rPr>
          <w:rFonts w:ascii="Arial" w:hAnsi="Arial"/>
          <w:lang w:bidi="ar-SA" w:eastAsia="en-US" w:val="mn-MN"/>
        </w:rPr>
        <w:tab/>
        <w:t>ПРОТОКОЛЫН АЛБАНЫ</w:t>
      </w:r>
    </w:p>
    <w:p>
      <w:pPr>
        <w:pStyle w:val="style0"/>
        <w:widowControl/>
        <w:suppressAutoHyphens w:val="false"/>
        <w:jc w:val="both"/>
      </w:pPr>
      <w:r>
        <w:rPr>
          <w:rFonts w:ascii="Arial" w:hAnsi="Arial"/>
          <w:lang w:bidi="ar-SA" w:eastAsia="en-US" w:val="mn-MN"/>
        </w:rPr>
        <w:tab/>
        <w:t xml:space="preserve">ШИНЖЭЭЧ </w:t>
        <w:tab/>
        <w:tab/>
        <w:tab/>
        <w:tab/>
        <w:tab/>
        <w:tab/>
        <w:tab/>
        <w:t>Д.ЦЭНДСҮРЭН</w:t>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right"/>
      </w:pPr>
      <w:r>
        <w:rPr/>
      </w:r>
    </w:p>
    <w:p>
      <w:pPr>
        <w:pStyle w:val="style0"/>
        <w:widowControl/>
        <w:suppressAutoHyphens w:val="false"/>
        <w:jc w:val="right"/>
      </w:pPr>
      <w:r>
        <w:rPr/>
      </w:r>
    </w:p>
    <w:p>
      <w:pPr>
        <w:pStyle w:val="style0"/>
        <w:widowControl/>
        <w:suppressAutoHyphens w:val="false"/>
        <w:jc w:val="center"/>
      </w:pPr>
      <w:r>
        <w:rPr>
          <w:rFonts w:ascii="Arial" w:hAnsi="Arial"/>
          <w:b/>
          <w:lang w:bidi="ar-SA" w:eastAsia="en-US" w:val="mn-MN"/>
        </w:rPr>
        <w:t xml:space="preserve">МОНГОЛ УЛСЫН ИХ ХУРЛЫН </w:t>
      </w:r>
    </w:p>
    <w:p>
      <w:pPr>
        <w:pStyle w:val="style0"/>
        <w:widowControl/>
        <w:suppressAutoHyphens w:val="false"/>
        <w:jc w:val="center"/>
      </w:pPr>
      <w:r>
        <w:rPr>
          <w:rFonts w:ascii="Arial" w:hAnsi="Arial"/>
          <w:b/>
          <w:shd w:fill="FFFFFF" w:val="clear"/>
          <w:lang w:bidi="ar-SA" w:eastAsia="en-US" w:val="mn-MN"/>
        </w:rPr>
        <w:t>2018 ОНЫ НАМРЫН ЭЭЛЖИТ ЧУУЛГАНЫ</w:t>
      </w:r>
    </w:p>
    <w:p>
      <w:pPr>
        <w:pStyle w:val="style0"/>
        <w:widowControl/>
        <w:suppressAutoHyphens w:val="false"/>
        <w:jc w:val="center"/>
      </w:pPr>
      <w:r>
        <w:rPr>
          <w:rFonts w:ascii="Arial" w:hAnsi="Arial"/>
          <w:b/>
          <w:lang w:bidi="ar-SA" w:eastAsia="en-US" w:val="mn-MN"/>
        </w:rPr>
        <w:t xml:space="preserve">ХҮНИЙ ЭРХИЙН ДЭД ХОРООНЫ 10 ДУГААР САРЫН 30-НЫ </w:t>
      </w:r>
    </w:p>
    <w:p>
      <w:pPr>
        <w:pStyle w:val="style0"/>
        <w:widowControl/>
        <w:suppressAutoHyphens w:val="false"/>
        <w:jc w:val="center"/>
      </w:pPr>
      <w:r>
        <w:rPr>
          <w:rFonts w:ascii="Arial" w:hAnsi="Arial"/>
          <w:b/>
          <w:lang w:bidi="ar-SA" w:eastAsia="en-US" w:val="mn-MN"/>
        </w:rPr>
        <w:t xml:space="preserve">ӨДӨР /МЯГМАР ГАРАГ/-ИЙН ХУРАЛДААНЫ ДЭЛГЭРЭНГҮЙ </w:t>
      </w:r>
    </w:p>
    <w:p>
      <w:pPr>
        <w:pStyle w:val="style0"/>
        <w:widowControl/>
        <w:suppressAutoHyphens w:val="false"/>
        <w:jc w:val="center"/>
      </w:pPr>
      <w:r>
        <w:rPr>
          <w:rFonts w:ascii="Arial" w:hAnsi="Arial"/>
          <w:b/>
          <w:lang w:bidi="ar-SA" w:eastAsia="en-US" w:val="mn-MN"/>
        </w:rPr>
        <w:t>ТЭМДЭГЛЭЛ</w:t>
      </w:r>
    </w:p>
    <w:p>
      <w:pPr>
        <w:pStyle w:val="style0"/>
        <w:widowControl/>
        <w:suppressAutoHyphens w:val="false"/>
        <w:jc w:val="center"/>
      </w:pPr>
      <w:r>
        <w:rPr/>
      </w:r>
    </w:p>
    <w:p>
      <w:pPr>
        <w:pStyle w:val="style0"/>
        <w:widowControl/>
        <w:suppressAutoHyphens w:val="false"/>
        <w:jc w:val="center"/>
      </w:pPr>
      <w:r>
        <w:rPr/>
      </w:r>
    </w:p>
    <w:p>
      <w:pPr>
        <w:pStyle w:val="style0"/>
        <w:widowControl/>
        <w:suppressAutoHyphens w:val="false"/>
        <w:jc w:val="both"/>
      </w:pPr>
      <w:r>
        <w:rPr>
          <w:rFonts w:ascii="Arial" w:hAnsi="Arial"/>
          <w:b/>
          <w:i/>
          <w:lang w:bidi="ar-SA" w:eastAsia="en-US"/>
        </w:rPr>
        <w:tab/>
      </w:r>
      <w:r>
        <w:rPr>
          <w:rFonts w:ascii="Arial" w:hAnsi="Arial"/>
          <w:b/>
          <w:lang w:bidi="ar-SA" w:eastAsia="en-US" w:val="mn-MN"/>
        </w:rPr>
        <w:t>Н.Оюундарь: -</w:t>
      </w:r>
      <w:r>
        <w:rPr>
          <w:rFonts w:ascii="Arial" w:hAnsi="Arial"/>
          <w:lang w:bidi="ar-SA" w:eastAsia="en-US" w:val="mn-MN"/>
        </w:rPr>
        <w:t xml:space="preserve">Та бүхэнд энэ өдрийн мэндийг хүргэе. Хүний эрхийн дэд хорооны эрхэм гишүүдийн энэ өдрийн амар амгаланг айлтгая. Ажлын хэсгийнхний энэ өдрийн амгаланг айлтгая. </w:t>
        <w:tab/>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Хүний эрхийн дэд хорооны гишүүдийн ирц бүрдсэн учраас 2018 оны 10 дугаар сарын 30-ны өдрийн хуралдаан нээснийг мэдэгдье.</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Хүний эрхийн дэд хорооны хуралдаанаар хэлэлцэх асуудлыг танилцуулъя. Өнөөдрийн энэ хуралдаанаараа Монгол Улс дахь хүний эрх, эрх чөлөөний байдлын талаарх Хүний эрхийн үндэсний комиссын 17 дахь илтгэлийг сонсохоор хэлэлцэх асуудалд орсон байгаа.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Хэлэлцэх асуудалтай холбогдуулан саналтай гишүүд байна уу?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Саналтай гишүүд байхгүй учраас Хүний эрхийн үндэсний комиссын 17 дахь илтгэлийг хэлэлцье.</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Илтгэлийг Хүний эрхийн үндэсний комиссын дарга Ж.Бямбадорж танилцуулна.  Уг нь бид нар энэ Хүний эрхийн комиссын илтгэлийг хуулийн дагуу жил бүрийн эхний улиралд багтаан Их Хуралд өргөн барьдаг. Өргөн барьсны дагуу хэлэлцэж байх ёстой. Магадгүй энэ удаагийнх нэлээд оройтож хэлэлцэгдэж байна. Гэхдээ ямар ч байсан энэ ондоо багтааж байна. Ирэх жилийн илтгэлийг оны эхний улиралдаа багтаагаад хэлэлцэх ийм саналтай байгаа. Тэгэхээр энэ удаагийн Хүний эрхийн үндэсний комиссын илтгэлийг Комиссын дарга Ж.Бямбадорж танилцуулна.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Ж.Бямбадорж: - </w:t>
      </w:r>
      <w:r>
        <w:rPr>
          <w:rFonts w:ascii="Arial" w:hAnsi="Arial"/>
          <w:lang w:bidi="ar-SA" w:eastAsia="en-US" w:val="mn-MN"/>
        </w:rPr>
        <w:t>Монгол Улсын Их Хурлын Хүний эрхийн дэд хорооны дарга, гишүүдийн энэ өдрийн амгаланг эрье.</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Энэ Хүний эрхийн үндэсний комиссоос оруулж байгаа илтгэл бол Комиссын илтгэл биш ээ. Энэ бол Монгол Улс дахь хүний эрх, эрх чөлөөний байдлын илтгэлийг хуульд заасны дагуу өргөн мэдүүлдэг юм. Энэ ажлын хэсэгт орж байгаа хүмүүс, өөрөөр хэлбэл төвийн холбогдох бүх байгууллага, иргэний нийгмийн байгууллага, сэтгүүлчид, шинжилгээ судалгааны байгууллагуудын явуулсан үйл ажиллагааны үр дүнд энэ тодорхой сэдвүүд илтгэл болж Улсын Их Хурлаар хэлэлцэгддэг юм. Харамсалтай нь өнөөдөр одоо Улсын Их Хурлын гишүүд маш цөөхөн, З хүнд л би энэ илтгэлийг танилцуулах юм шиг байна. Харамсалтай байна.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З дугаар сарын 30-нд Хүний эрхийн үндэсний комисс хуулиараа өргөн мэдүүлэх журамтай, бид хугацаандаа өргөн мэдүүлсэн. Үүний дараагаар тусгай брошюр болгож, төрийн холбогдох байгууллага, албан тушаалтнуудад хүргүүлсэн. Иргэний нийгмийн байгууллагуудад хүргүүлсэн, цахим хуудсандаа байрлуулсан мөн англи хэлээр орчуулж, хүний эрхийн үндэсний байгууллагуудын дэлхийн холбоо, Ази-Номхон далайн бүс нутгийн хүний эрхийн үндэсний байгууллагуудын чуулганд, НҮБ-ын холбогдох байгууллагуудад, олон улсын байгууллагуудад хүргэсэн, мөн цахим хуудсандаа байршуулсан.  Асуудал олон түмэнд хүрсэн, сурталчлагдсан байгаа.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Өргөн барьсны дараагаар бид бас  зүгээр байдаггүй. Энэ жилийн нэг сэдэв, тухайлбал, Хүний эрхийн зөвлөл Засгийн газрын ээлжит нэгдсэн  хэлэлцүүлгийг хийснээс хойш  2 жилийн дунд хугацааны асуудлыг Засгийн газрын холбогдох яамдтай хамтарч энэ илтгэлд тусгаад, үүний дараагаар аймгуудад энэ 2 яамтай хамтраад ажилласан. Мөн түүнчлэн НҮБ-ын суурин төлөөлөгчийн газарт бас иргэний нийгмийн байгууллага, холбогдох хүмүүсийг цуглуулаад энэ илтгэлийн мэдээллийг хүргүүлсэн.</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Уг нь энэ асуудал холбогдох Улсын Их Хурлын нэгжүүдээр хэлэлцэгдсэний дараагаар уг нь ийм ажлууд явж байвал их л үр дүнтэй байгаа юм. Энэ жилийн хувьд эрүүл аюулгүй орчинд амьдрах эрх, байгаль орчны хууль тогтоомжийн хэрэгжилт ба иргэдийн оролцоо, нийслэлийн хот төлөвлөлттэй холбоотой хүний эрхийн зарим асуудал, хохирол нөхөн төлүүлэх эрхийн хэрэгжилтийн зарим асуудал, хилийн боомтод ажиллаж буй мэргэжлийн хяналтын байгууллагын албан хаагчдын хөдөлмөрлөх эрхийн зарим асуудал,  НҮБ-ын хүний эрхийн зөвлөлөөс өгсөн зөвлөмжүүдийн хэрэгжилт гэсэн 5 үндсэн бүлэгт боловсруулсан.</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Ингээд хамгийн гол нь Улсын Их Хуралд шийдвэр гаргуулахаар бид 16 зүйлээр зөвлөмж хүргүүлж байгаа юм. Энэ зөвлөмжийг би уншъя.</w:t>
      </w:r>
    </w:p>
    <w:p>
      <w:pPr>
        <w:pStyle w:val="style0"/>
        <w:widowControl/>
        <w:suppressAutoHyphens w:val="false"/>
        <w:jc w:val="both"/>
      </w:pPr>
      <w:r>
        <w:rPr/>
      </w:r>
    </w:p>
    <w:p>
      <w:pPr>
        <w:pStyle w:val="style0"/>
        <w:widowControl/>
        <w:suppressAutoHyphens w:val="false"/>
        <w:jc w:val="both"/>
      </w:pPr>
      <w:r>
        <w:rPr>
          <w:rFonts w:ascii="Arial" w:hAnsi="Arial"/>
          <w:b/>
          <w:i/>
          <w:lang w:bidi="ar-SA" w:eastAsia="en-US"/>
        </w:rPr>
        <w:tab/>
      </w:r>
      <w:r>
        <w:rPr>
          <w:rFonts w:ascii="Arial" w:hAnsi="Arial"/>
          <w:lang w:bidi="ar-SA" w:eastAsia="en-US"/>
        </w:rPr>
        <w:t xml:space="preserve">Нэг. Эрүүл, аюулгүй орчинд амьдрах эрхийн </w:t>
      </w:r>
      <w:r>
        <w:rPr>
          <w:rFonts w:ascii="Arial" w:hAnsi="Arial"/>
          <w:lang w:bidi="ar-SA" w:eastAsia="en-US" w:val="mn-MN"/>
        </w:rPr>
        <w:t>та</w:t>
      </w:r>
      <w:r>
        <w:rPr>
          <w:rFonts w:ascii="Arial" w:hAnsi="Arial"/>
          <w:lang w:bidi="ar-SA" w:eastAsia="en-US"/>
        </w:rPr>
        <w:t>лаар:</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Эрүүл, аюулгүй орчинд амьдрах, орчны бохирдол, байгалийн тэнцэл алдагдахаас хамгаалуулах эрхийн асуудлаар шийдвэр гаргуулах, арга хэмжээ авахуулахаар Монгол Улс дахь хүний эрх, эрх чөлөөний байдлын талаарх өмнөх илтгэлүүдэд тусгасан санал, зөвлөмжийг цаг алдалгүй хэрэгжүүлж олон нийтэд мэдээлэх</w:t>
      </w:r>
      <w:r>
        <w:rPr>
          <w:rFonts w:ascii="Arial" w:hAnsi="Arial"/>
          <w:lang w:bidi="ar-SA" w:eastAsia="en-US" w:val="mn-MN"/>
        </w:rPr>
        <w:t>. Энэ бол өнөөдрийнх биш маш их олон асуудлууд байгаа. Тийм учраас ганц өнөөдөр тэр бүгдийг яривал маш олон асуудал байгаа учраас өмнөх гэдэг үгээр нь оруулсан юм.</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Уул уурхайн үйл ажиллагааны стандарт, хүний аюулгүй байдал болон хүрээлэн буй орчинд үзүүлдэг сөрөг нөлөөллийг багасгах, уурхайн хаалт, нөхөн сэргээлтийг олон улсын жишигт нийцүүлэн гүйцэтгэх асуудлыг зохицуулсан хуультай болох.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Иргэдийн эрүүл, аюулгүй орчинд амьдрах эрхийг ноцтой зөрчиж байгаа Улаанбаатар хотын агаар, ус, хөрсний бохирдлыг арилгах, хот, суурин газрыг дахин хөгжүүлэх, дэд бүтцийг сайжруулах талаар хууль тогтоомжид заасан үйл ажиллагааг цаг тухайд нь хэрэгжүүлж олон нийтэд тогтмол мэдээлж байх.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Цэвэр усны түгээлт, хэрэглээнд хэмнэлтийн горим болон үйлдвэрлэлийн хэрэгцээнд саарал ус ашиглах дэвшилтэт технологийг нэвтрүүлэх асуудлыг зохицуулсан бодлого, эрх зүйн орчин бүрдүүлэх.</w:t>
      </w:r>
    </w:p>
    <w:p>
      <w:pPr>
        <w:pStyle w:val="style0"/>
        <w:widowControl/>
        <w:suppressAutoHyphens w:val="false"/>
        <w:jc w:val="both"/>
      </w:pPr>
      <w:r>
        <w:rPr/>
      </w:r>
    </w:p>
    <w:p>
      <w:pPr>
        <w:pStyle w:val="style0"/>
        <w:widowControl/>
        <w:suppressAutoHyphens w:val="false"/>
        <w:jc w:val="both"/>
      </w:pPr>
      <w:r>
        <w:rPr>
          <w:rFonts w:ascii="Arial" w:hAnsi="Arial"/>
          <w:b/>
          <w:i/>
          <w:lang w:bidi="ar-SA" w:eastAsia="en-US"/>
        </w:rPr>
        <w:tab/>
      </w:r>
      <w:r>
        <w:rPr>
          <w:rFonts w:ascii="Arial" w:hAnsi="Arial"/>
          <w:lang w:bidi="ar-SA" w:eastAsia="en-US"/>
        </w:rPr>
        <w:t>Хоёр. Нийслэлийн хот төлөвлөлттэй холбогдох хүний эрхийн асуудлаар:</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Хот төлөвлөлтийн төсөл хөтөлбөрийн хүрээнд газраа чөлөөлж, үл хөдлөх эд хөрөнгөгүй болж хохирсон иргэдийн хохирлыг нэн даруй барагдуулах арга хэмжээ авах.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Хот суурин газрыг хөгжүүлэх харилцааны эрх зүйн зохицуулалтыг боловсронгуй болгох иргэдийг амьдрах байраар хангасан нөхцөлд газар чөлөөлж үл хөдлөх эд хөрөнгийг буулгах, гэрээгээр тохирсон хугацаанд байр олгоогүй нөхцөлд үүрэг хүлээсэн төрийн болон бусад байгууллага, аж ахуйн нэгж бүрэн хариуцдаг зохицуулалттай болох.</w:t>
      </w:r>
    </w:p>
    <w:p>
      <w:pPr>
        <w:pStyle w:val="style0"/>
        <w:widowControl/>
        <w:suppressAutoHyphens w:val="false"/>
        <w:jc w:val="both"/>
      </w:pPr>
      <w:r>
        <w:rPr/>
      </w:r>
    </w:p>
    <w:p>
      <w:pPr>
        <w:pStyle w:val="style0"/>
        <w:widowControl/>
        <w:suppressAutoHyphens w:val="false"/>
        <w:jc w:val="both"/>
      </w:pPr>
      <w:r>
        <w:rPr>
          <w:rFonts w:ascii="Arial" w:hAnsi="Arial"/>
          <w:b/>
          <w:i/>
          <w:lang w:bidi="ar-SA" w:eastAsia="en-US"/>
        </w:rPr>
        <w:tab/>
      </w:r>
      <w:r>
        <w:rPr>
          <w:rFonts w:ascii="Arial" w:hAnsi="Arial"/>
          <w:lang w:bidi="ar-SA" w:eastAsia="en-US"/>
        </w:rPr>
        <w:t>Гурав. Хохирол нөхөн төлүүлэх эрхийн асуудлаар:</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Шүүхийн шийдвэр гүйцэтгэх тухай хуулийн 59 дүгээр зүйлийн 59.1 дэх хэсэгт Хуульд өөрөөр заагаагүй бол төлбөр төлөгчийн гадаадад зорчих, цагаачлах эрхийг түдгэлзүүлэхийг хориглоно гэсэн нь Монгол Улсын иргэн гадаадад хувийн хэргээр зорчих, цагаачлах тухай хуулийн 5 дугаар зүйлийн 5.1 дэх хэсэгт заасан, Шүүхийн шийдвэр гүйцэтгэх тухай хуульд заасны дагуу гадаадад хувийн хэргээр зорчих, цагаачлах эрхийг түдгэлзүүлсэн шүүх, прокурор, шүүхийн шийдвэр гүйцэтгэх байгууллагын шийдвэр байгаа бол шийдвэрт заасан хугацаагаар гадаадад хувийн хэргээр зорчих, цагаачлах эрхийг түдгэлзүүлнэ  гэсэн заалттай зөрчилдөж байх тул дээрх хуулийн заалтуудыг нэг мөр болгож, холбогдох хуульд өөрчлөлт оруулах.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Хэрэг бүртгэлт, мөрдөн байцаалт, прокурорын шатанд хохирол нөхөн төлүүлэх зорилгоор эд хөрөнгө битүүмжлэх, мөн хохирол нөхөн төлүүлэх ажиллагааг зөвхөн шүүхийн зөвшөөрлөөр явуулах талаар хуульчлах.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Монгол Улс олон улсын өмнө хүлээсэн үүргээ биелүүлж, гэмт хэргийн улмаас хохирсон амь нас, сэтгэл санаа болон гэмтлийн улмаас дахин нөхөн сэргээгдэхгүй эрүүл мэндэд учирсан эдийн бус хохирлыг мөнгөн дүнгээр үнэлэх, тооцох аргачлалыг холбогдох байгууллагууд нэн даруй батлан гаргаж практикт хэрэглэх.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Төр хариуцах төлбөрийн тухайн жилд шаардагдах зардлыг улсын төсөвт тусгах, шүүхийн хүчин төгөлдөр шийдвэрийн дагуу төрийн байгууллага, албан тушаалтны буруутай үйл ажиллагааны улмаас иргэн, аж ахуйн нэгж, байгууллагад учирсан хохирлыг тухай бүрт нь олгодог байх.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 xml:space="preserve">Дөрөв. Хилийн боомтод ажиллаж буй мэргэжлийн хяналтын байгууллагын ажилтнуудын хөдөлмөрлөх эрхийн </w:t>
      </w:r>
      <w:r>
        <w:rPr>
          <w:rFonts w:ascii="Arial" w:hAnsi="Arial"/>
          <w:lang w:bidi="ar-SA" w:eastAsia="en-US" w:val="mn-MN"/>
        </w:rPr>
        <w:t>асуудл</w:t>
      </w:r>
      <w:r>
        <w:rPr>
          <w:rFonts w:ascii="Arial" w:hAnsi="Arial"/>
          <w:lang w:bidi="ar-SA" w:eastAsia="en-US"/>
        </w:rPr>
        <w:t>аар:</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Хилийн мэргэжлийн хяналтын алба, хэлтсийн ажлын байрны болон амьдрах байрны орчин нөхцөлийг сайжруулахад шаардагдах төсвийг гаргах.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Мэргэжлийн хяналтын ерөнхий газраас улсын байцаагчийн дүрэмт хувцасны норм, эдэлгээний хугацааг батлан гаргах, мөрдөж ажиллах, цаашид тогтоосон хугацаанд хангалтыг хийх, чанар хүртээмжийг сайжруулах.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Хилийн боомтуудад орчин үеийн иж бүрэн тоног, төхөөрөмжөөр тоноглогдсон лабораторийг байгуулах, хүчин чадлыг нэмэгдүүлэх, холбогдох төсвийг гаргаж, шаардлага хангаагүй хүнс, хүнсний түүхий эдийг хилээр нэвтрүүлэхийг таслан зогсоож Монгол Улсын үндэсний болон хүнсний аюулгүй байдлыг хамгаалах.</w:t>
      </w:r>
    </w:p>
    <w:p>
      <w:pPr>
        <w:pStyle w:val="style0"/>
        <w:widowControl/>
        <w:suppressAutoHyphens w:val="false"/>
        <w:jc w:val="both"/>
      </w:pPr>
      <w:r>
        <w:rPr/>
      </w:r>
    </w:p>
    <w:p>
      <w:pPr>
        <w:pStyle w:val="style0"/>
        <w:widowControl/>
        <w:suppressAutoHyphens w:val="false"/>
        <w:jc w:val="both"/>
      </w:pPr>
      <w:r>
        <w:rPr>
          <w:rFonts w:ascii="Arial" w:hAnsi="Arial"/>
          <w:b/>
          <w:i/>
          <w:lang w:bidi="ar-SA" w:eastAsia="en-US"/>
        </w:rPr>
        <w:tab/>
      </w:r>
      <w:r>
        <w:rPr>
          <w:rFonts w:ascii="Arial" w:hAnsi="Arial"/>
          <w:lang w:bidi="ar-SA" w:eastAsia="en-US"/>
        </w:rPr>
        <w:t>Тав. Нэгдсэн Үндэстний Байгууллагын Хүний эрхийн Зөвлөлөөс өгсөн зөвлөмжүүдийн хэрэгжилтийн талаар:</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Нэгдсэн Үндэстний Байгууллагын Хүний эрхийн Зөвлөлийн зөвлөмжийн биелэлтийн мэдээллийн нэгдсэн сантай болох.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 xml:space="preserve">Хүний эрхийн олон улсын гэрээний албан ёсны орчуулгын чанарыг сайжруулах, үндэсний хууль тогтоомж, хүний эрхийн олон улсын гэрээний нэр </w:t>
      </w:r>
      <w:r>
        <w:rPr>
          <w:rFonts w:ascii="Arial" w:hAnsi="Arial"/>
          <w:lang w:bidi="ar-SA" w:eastAsia="en-US" w:val="mn-MN"/>
        </w:rPr>
        <w:t>томьёог</w:t>
      </w:r>
      <w:r>
        <w:rPr>
          <w:rFonts w:ascii="Arial" w:hAnsi="Arial"/>
          <w:lang w:bidi="ar-SA" w:eastAsia="en-US"/>
        </w:rPr>
        <w:t xml:space="preserve"> нэг мөр болгох.</w:t>
      </w:r>
    </w:p>
    <w:p>
      <w:pPr>
        <w:pStyle w:val="style0"/>
        <w:widowControl/>
        <w:suppressAutoHyphens w:val="false"/>
        <w:jc w:val="both"/>
      </w:pPr>
      <w:r>
        <w:rPr/>
      </w:r>
    </w:p>
    <w:p>
      <w:pPr>
        <w:pStyle w:val="style0"/>
        <w:widowControl/>
        <w:suppressAutoHyphens w:val="false"/>
        <w:jc w:val="both"/>
      </w:pPr>
      <w:r>
        <w:rPr>
          <w:rFonts w:ascii="Arial" w:hAnsi="Arial"/>
          <w:lang w:bidi="ar-SA" w:eastAsia="en-US"/>
        </w:rPr>
        <w:tab/>
        <w:t xml:space="preserve">Ерөнхий төлөвлөгөөний хэрэгжилтийг үнэлэх, шалгуур үзүүлэлтийг тодорхойлж хэрэгжилтийн явцын тайланг жил бүр Засгийн газрын хуралдаанаар хэлэлцэж, зохих шийдвэрийг гаргаж байх </w:t>
      </w:r>
      <w:r>
        <w:rPr>
          <w:rFonts w:ascii="Arial" w:hAnsi="Arial"/>
          <w:lang w:bidi="ar-SA" w:eastAsia="en-US" w:val="mn-MN"/>
        </w:rPr>
        <w:t>гэсэн ийм зөвлөмжүүдийг Улсын Их Хуралд хүргүүлж байгаа юм.</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Энэ холбогдох Байнгын хороодоор хэлэлцээр, Улсын Их Хурлын тогтоол болж гарвал бүр илүү их ач холбогдолтой байна. Үүний задаргааны талаар гишүүдэд бид нар хариулахад бэлэн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 xml:space="preserve">Ж.Бямбадорж даргад баярлалаа.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Ажлын хэсгийг танилцуулъя. </w:t>
      </w:r>
      <w:bookmarkStart w:id="2" w:name="__DdeLink__116_1533102917"/>
      <w:r>
        <w:rPr>
          <w:rFonts w:ascii="Arial" w:hAnsi="Arial"/>
          <w:lang w:bidi="ar-SA" w:eastAsia="en-US" w:val="mn-MN"/>
        </w:rPr>
        <w:t>Хүний эрхийн Үндэсний Комиссын дарга Ж.Бямбадорж, мөн Комиссын гишүүн Н.Ганбаяр, П.Оюунчимэг, Комиссын Захиргаа, хамтын ажиллагааны хэлтсийн дарга Ө.Ундрах, Хэвлэл, мэдээлэл хариуцсан референт Э.Бадмаараг, Барилга, хот байгуулалтын дэд сайд Ш.Лхамсүрэн, мөн яамны Хуулийн хэлтсийн дарга Б.Нямдорж, Хууль зүй, дотоод хэргийн яамны Төрийн нарийн бичгийн даргын үүргийг түр орлон гүйцэтгэгч Г.Билгүүн,  мөн яамны Гэрээ, эрхзүй, хамтын ажиллагааны газрын дарга Т.Бат-Өлзий, мөн газрын ахлах мэргэжилтэн Ч.Нарантуяа, Улсын ерөнхий прокурорын туслах прокурор, Шүүхийн шийдвэр гүйцэтгэх ажиллагаанд хяналт тавих хэлтсийн дарга Д.Отгонбаяр,  Шүүхийн шийдвэр гүйцэтгэх ерөнхий газрын тэргүүн дэд дарга Г.Элбэгсайхан, Мэргэжлийн хяналтын ерөнхий газрын Хөдөлмөр, нийгэм хамгаалал, тусгай хяналтын газрын дарга Л.Төгсбаяр, Нийслэлийн Засаг даргын Дэд бүтэц, гэр хорооллын хөгжлийн асуудал хариуцсан орлогч П.Баярхүү</w:t>
      </w:r>
      <w:bookmarkEnd w:id="2"/>
      <w:r>
        <w:rPr>
          <w:rFonts w:ascii="Arial" w:hAnsi="Arial"/>
          <w:lang w:bidi="ar-SA" w:eastAsia="en-US" w:val="mn-MN"/>
        </w:rPr>
        <w:t xml:space="preserve"> нар хүрэлцэн ирсэн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Хэлэлцэж байгаа холбоотой асуулт асуух гишүүд нэрсээ өгнө үү. Батзандан гишүүн асуултаа асууна уу?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Ж.Батзандан: - </w:t>
      </w:r>
      <w:r>
        <w:rPr>
          <w:rFonts w:ascii="Arial" w:hAnsi="Arial"/>
          <w:lang w:bidi="ar-SA" w:eastAsia="en-US" w:val="mn-MN"/>
        </w:rPr>
        <w:t>Хүний эрхийн 17 дахь илтгэлийг Хүний эрхийн дэд хороогоор хэлэлцэж байна. Нэлээн чамбай сайн илтгэл Хүний эрхийн комиссоос жил болгон орж ирдэг. Илтгэлийн дагуу Засгийн газрын байгууллагууд, Улсын Их Хурал, холбогдох эрх бүхий албан тушаалтнууд шийдвэр гаргаж, бодлого боловсруулж, хүний эрхийн нөхцөл байдлыг дээшлүүлэх чиглэлд бодитой алхмуудыг хийх ёстой байгаа. Харамсалтай нь Хүний эрхийн илтгэлд тусгагдсан чиглэлүүдийг ажил болгох талд үе, үеийн Засгийн газрууд үргэлж хайнга хандсаар ирсэн гэдгийг хэлэхийг хүсэж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Хүний эрхийн 17 дахь илтгэлтэй холбоотойгоор Улсын Их Хурлаас тогтоолоор Засгийн газарт чиглэл өгөөч ээ гэдэг тодорхой санал орж ирсэн гэж би харж байна. Нийт  5 зүйлтэй. Үүнтэй холбогдуулж 2-З саналыг би  нэмж хэлье.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Хилийн боомтод ажиллаж буй мэргэжлийн хяналтын байгууллагын ажилтнуудын хөдөлмөрлөх эрхийн асуудал. Энэ чухал асуудал байгаа. Гэхдээ үүн дээр би хил дээр ажиллаж байгаа гаалийн ажилтнуудын нөхцөл байдлыг давхар оруулах нь зүйтэй байхаа гэж бодож байгаа. Хил дээр ажилладаг иргэний харьяатын ажилтнууд, хилийн цэрэг гээд энэ хил хамгаалах байгууллага, ер нь хил, гаальтай холбоотой ажилладаг хүмүүсийн ажлын байрны нөхцөл байдал, амьдрах байрны орчин маш хүнд байгаа. Ялангуяа мэргэжлийн хяналт, гаалийн асуудал. Тэгэхээр гаалийг орхигдуулсан байна уу даа гэж би ойлгож байна. Бүр шувуу нисдэггүй газар охид, хүүхнүүдийг өчнөөнөөр нь гэр бүлээс нь салгаж цөлдөг ийм гомдлууд их ирдэг. Даргынхаа үгэнд орохгүй, даргатайгаа жаахан зөрчилд орох юм бол алсын боомт уруу цөлөгдсөн, хүн амьдрах аргагүй байранд амьдарч байгаа  гаалийн ажилтнуудын тухай, мэргэжлийн хяналтынхны тухай асар олон гомдол Улсын Их Хурал дээр ирдэг юм. Тэгэхээр үүнийг нэлээн өргөнөөр нь харж, төрийн байгууллага, төр бол өөрөө ажил олгогч, гэхдээ ажил олгогч юм бол тухайн ажилтныхаа эрхийг хамгаалах чиглэлд төр үүрэг хүлээж, хариуцлага хүлээж явах ёстой.</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Боомтууд бол ял шийтгэл эдлүүлдэг газар биш л дээ. Тэгэхээр бараг энэ тусгай чиг үүргийн байгууллагууд дээр ажилтнаа ял шийтгэл хүлээлгэх маягаар алсын боомтууд уруу цөлсөн, эрхийг нь хохироосон, ялангуяа охид, эмэгтэйчүүдийн асуудал дээр маш хүндрэлтэй байгаа. Гаалийн байгууллагын эмэгтэйчүүдийн ний нуугүй хэлэхэд маш өндөр хувь нь өрх толгойлсон эмэгтэйчүүд болж хувирсан байгаа. Гэр бүлээсээ өчнөөн сар, жилээр алсын боомт уруу цөлөгддөг, үүнээсээ болоод гэр бүлийн харилцаанд нь сэв суусан, гэр бүлийн эрх нь зөрчигдсөн гээд олон асуудлууд байгаа. Үүнийг онцгой анхаарч, энэ дээрээ бас давхар тусгаад явбал зөв байх гэж бодож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Нийслэлийн хот төлөвлөлттэй холбогдох хүний эрхийн асуудлаар тусгай бодлого гаргахгүй бол хохирсон иргэдийн хохирлыг барагдуулах талд Засгийн газрын байгууллагууд онцгой анхаарал хандуулахгүй бол энэ үнэхээр хүндэрч байна. Дахин төлөвлөлтийн бодлоготой холбоотойгоор ялангуяа. Том, том зам гүүр барихтай холбоотойгоор иргэдийн газрыг чөлөөлдөг. Газар чөлөөлөх процессын явцад  үнийн маргаан гардаг, эд хөрөнгийн хохирол учирдаг гээд олон асуудлууд нийслэл хотын хөгжилтэй холбоотойгоор гарч ирж байгаа. Тэгэхээр би энэ хоёр дахь асуудал дээр дэмжиж байгаагаа илэрхийлье. Гэхдээ тодорхой эрх зүйн зохицуулалт, эрх зүйн орчныг бүрдүүлэхгүйгээр явахгүй юм байна гэдэг нь харагдаж байгаа юм.</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Нэг дэх асуудал ч гэсэн маш чухал асуудал байгаа. Үүнийг дэмжиж байгаагаа илэрхийлье.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Н.Оюундарь: -</w:t>
      </w:r>
      <w:r>
        <w:rPr>
          <w:rFonts w:ascii="Arial" w:hAnsi="Arial"/>
          <w:lang w:bidi="ar-SA" w:eastAsia="en-US" w:val="mn-MN"/>
        </w:rPr>
        <w:t>Үндсэндээ ганц хоёр тодруулах зүйл байсан гэж ойлголоо. Ажлын хэсгээс Бямбадорж дарга, мэргэжлийн хяналтаас хариулаарай. Хоёр дахь асуултад Нийслэлийн хот төлөвлөлттэй холбоотой, дахин төлөвлөлттэй холбоотой Баярхүү дарга Лхамсүрэн дэд сайд  нар хариулаарай.</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Ж.Бямбадорж: -</w:t>
      </w:r>
      <w:r>
        <w:rPr>
          <w:rFonts w:ascii="Arial" w:hAnsi="Arial"/>
          <w:lang w:bidi="ar-SA" w:eastAsia="en-US" w:val="mn-MN"/>
        </w:rPr>
        <w:t xml:space="preserve">Хүний эрхийн үндэсний комиссын онцгой үүрэг гүйцэтгэдэг төрийн албан хаагчдын хөдөлмөрлөх эрхийн асуудлыг сүүлийн 3-4 жил дараалан хийж байгаа юм. Цагдаагийн албан хаагчдын хөдөлмөрлөх эрхийн асуудал, Шүүхийн шийдвэр биелүүлэх байгууллагын ажиллагсдын  хөдөлмөр эрхлэх эрхийн асуудал, Зэвсэгт хүчин, хилийн цэргийн албан хаагчдын хөдөлмөр эрхлэх эрхийн асуудал гээд жил болгон энэ асуудлуудыг тусгаад, зарим нь хуульд ороод явж байгаад бид нар баяртай байдаг юм. Тэгээд энэ асуудлыг Комиссын хурлаар оны эхэнд ярьдаг. Ирэх жил ямар асуудлаар илтгэл бичих вэ гэдгээ тохироод, бүтэн жилийн хугацаанд үйл ажиллагаа явуулдаг.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Ер нь хилийн боомт, энэ хорих газруудаар манай Комиссын гишүүд байнга явдаг. Үнэхээр ч байнга явахгүй бол болдоггүй. Тэгээд  2016 онд санагдаж байна. Гашуун сухайтын боомт дээр ажиллаад ирээд би энэ 4 агентлагийн дарга нартай уулзсан юм. Хилийн цэрэг, мэргэжлийн хяналт, гааль, Гадаадын иргэн, харьяатын агентлагийн хүмүүстэй уулзаад, нэлээн олон асуудал яригдсан. Батзандан гишүүний саяны ярьж байгаа асуудал гааль дээр яг байгаа юм. Тэгээд бид нар маш их олон асуудал ярьсан. Энэ жил очсон хэвээрээ байна. Мэргэжлийн хяналтын газраас ямар хүмүүс байна вэ? Ерөөсөө байхгүй.  Бид нар ирээд, Мэргэжлийн хяналтаас та  нар тэр илүү ажилласан цалинг нь өгчхөөч гэсэн, ерөөсөө байхгүй.  Ядахдаа илүү цагаар нь ажилласан мөнгийг нь өгдөггүй л юм байна. Манай судалгаа, илтгэлд нарийн юмнууд бүгдээрээ байж байгаа.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Дээр нь энэ Мэргэжлийн хяналттай холбоотойгоор нэг асуудлыг Улсын Их Хурлын гишүүн болгонд хэлмээр байгаа юм. Тэр юу вэ гэхээр, энэ хүнсний аюулгүй байдал чинь  10-20 жилийн дараа монголчуудыг бөөнөөр нь үхүүлэх ийм байдалд хүргэх вий дээ. Дэлхий бол хүнсний бүтээгдэхүүнийг оруулдгаа байчихсан шүү дээ, цүнхэнд байгаа жижигхэн юмыг хүртэл оруулдгаа байчихсан шүү дээ. Тэгвэл манайх шиг ингэж замбараагүй хүнсний бүтээгдэхүүн оруулдаг  газар алга. Тийм учраас энэ хүнсний бүтээгдэхүүнийг тодорхой лабораторитой, хилийн боомтоор. Үүнийг Үндэсний аюулгүй байдлын зөвлөлд танилцуулсан, Ерөнхийлөгчид бид энэ асуудлыг ярьсан. Энэ жилийн төсөвт суусан юм уу? Үгүйг мэдэхгүй.</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Тийм учраас энэ жил Мэргэжлийн хяналтын энэ хил дээр ажиллаж байгаа хүмүүсийн хөдөлмөрлөх эрхийн асуудлын гаргаж тавьж байгаа юм. Ирэх жил бид гаалийнхныг бид үзье. Ирэх жилийн хөдөлмөрлөх эрхийн асуудал дээр гаалийн ажиллагсдын энэ асуудлыг үзье. Тэгэхдээ энэ жил бид үзсэн. Тэгэхдээ бас их хэцүү. Оны эхэнд тохироогүй болохоор одоо ингээд 2-3 сарын дотор юмаа цуглуулж чадах уу? Үгүй юу гэдэг асуудал байна. З сарын 30 гэхэд бид нар илтгэлээ өргөн барих ёстой. З сарын 30-наас хойш тэгээд Улсын Их Хуралд очдог, тэр амжих, амжихгүйгээ сайн мэдэхгүй байна, бид анхаарна.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Энэ жилийнхэд Онцгой байдлын албан хаагчдын хөдөлмөрлөх эрхийн асуудал орчихсон, өөрөөр хэлбэл  2018 оныход орж ирэх юм, тийм учраас гаалийнх бас чадахгүй нь. Бид  2019 онд хийгээд, 2019 оны илтгэлд оруулж ирье, Батзандан гишүүн ээ.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Ж.Батзандан гишүүнд 1 минут тодруулъя.</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Ж.Батзандан: - </w:t>
      </w:r>
      <w:r>
        <w:rPr>
          <w:rFonts w:ascii="Arial" w:hAnsi="Arial"/>
          <w:lang w:bidi="ar-SA" w:eastAsia="en-US" w:val="mn-MN"/>
        </w:rPr>
        <w:t xml:space="preserve">Энэ хүний эрхийн асуудал дээр, ялангуяа энэ зэвсэгт хүчин дээр, босоо тогтолцоотой байгууллага дээр Европын холбоонд омбудстмен ажилладаг юм билээ. Босоо тогтолцоотой байгууллага дахь хүний эрхийн асуудлыг хариуцдаг омбудстмен ажиллаж байж, Улсын Их Хурлын хяналт орж ирж байж арай дээрдэж байна билээ. Үүнийг та бүхэн судлаарай.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Энэ илтгэлд тусгагдсан байна. Баянзүрх дүүргийн 11 дүгээр хорооны аккумлятор задалдаг үйлдвэрийн тухай, үүнийг Монголын төр дийлэхгүй боллоо, би ч яваад дийлдэггүй, та нарын илтгэлдээ тусгаад ч дийлдэггүй, үүнийг тэгээд яах юм бэ? Аккумляторын задлах үйлдвэрийн байгальд учруулж байгаа хор холбогдлыг тухай та нар маш тодорхой бичсэн байна. Энэ дээр гарц, гаргалгаа байна уу? Иргэдэд очиж юу гэж хэлэх вэ? Монголын төр аккумляторын үйлдвэрийг нүүлгэн шилжүүлж чадахгүй байна аа?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Н.Оюундарь: -</w:t>
      </w:r>
      <w:r>
        <w:rPr>
          <w:rFonts w:ascii="Arial" w:hAnsi="Arial"/>
          <w:lang w:bidi="ar-SA" w:eastAsia="en-US" w:val="mn-MN"/>
        </w:rPr>
        <w:t>Мэргэжлийн хяналтаас саяны асуусан асуудалтай холбогдуулаад тодруулга хийчих, тэгээд мөн саяны энэ аккумлятортой холбоотой, нэгэнтээ төрийн эрх, хянах шалгах функц нь мэргэжлийн хяналтад байж байгаа юм чинь.</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Мэргэжлийн хяналтынхан индрийн микрофон дээр.</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Л.Төгсбаяр: -</w:t>
      </w:r>
      <w:r>
        <w:rPr>
          <w:rFonts w:ascii="Arial" w:hAnsi="Arial"/>
          <w:lang w:bidi="ar-SA" w:eastAsia="en-US" w:val="mn-MN"/>
        </w:rPr>
        <w:t xml:space="preserve">Хүний эрхийн үндэсний комиссын 17 дугаар илтгэл дээр манай мэргэжлийн хяналт, тэр дундаа хилийн мэргэжлийн хяналттай холбоотой З багц асуудал орсон байгаа. Энэ З багц асуудал дээр манайх тодорхой хэмжээний ажлууд хийсэн байгаа. Жишээ нь, Засгийн газрын  2017 оны 6 дугаар сарын 28-ны 180 дугаар тогтоолын дагуу эхний ээлжинд Гашуун сухайт боомт дээр ажиллаж байсан, хилийн мэргэжлийн хяналтын байцаагчдын илүү цагийн хөлс 119 сая төгрөг шийдвэрлэсэн байгаа. Мөн Гашуун сухайт боомтын  ганц  манай хилийн мэргэжлийн хяналтын алба биш, боомт дээр ажиллаж байгаа байцаагчдын усны хангалт хүндрэлтэй байдаг. Түүнд нь мөн Засгийн газрын тогтоолоор 131 сая төгрөгийн цэвэр усны машины асуудал шийдэж, тендер зарлаж, түүний худалдан авалт хийгээд Гашуун сухайт боомтод өгсөн гээд.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Товчлоод хэлэх юм бол 2017 онд 7 ажил, 2018 онд 2 ажил, нийтдээ 9 ажилд 309.7 сая төгрөгийн хөрөнгө оруулалт хийсэн байгаа.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Хоёрдугаар асуудлын  хүрээнд хувцас хангамж, тэгээд хилийн боомт дээрх тоног төхөөрөмжийн асуудлын энэ хүрээнд 836.8 сая төгрөгийн хөрөнгө оруулалтын асуудлыг шийдсэн. Нийтдээ  1 тэрбум 46.5 сая төгрөгийн хөрөнгө оруулалтын асуудал шийдэгдсэн байгаа.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Сүүлд яригдсан хилийн боомтуудын лабораториудын чадавхийг, хүнсний аюулгүй байдалтай холбоотой асуудлууд дээр манай байгууллагаас  тодорхой хэмжээний арга хэмжээнүүд авч дотоодын болон гадаадын эх үүсвэрүүдээс ялангуяа хүнсний аюулгүй байдлын лабораторийн чадавхийг бэхжүүлэхээр нэлээн ажиллаж байгаа. Жишээлбэл, Баян-Өлгий аймгийн Цагааннуур, Говь-Алтай аймгийн Бургастай, Дорноговь аймгийн Ханги, Хөвсгөл аймгийн Ханх боомтууд болон Замын-Үүд дэх Хилийн мэргэжлийн хяналтын албанд нийт 166 сая төгрөгийн төсөвт өртөгтэй 5 ширхэг явуулын лабораторийн зориулалт бүхий автомашин авч хүлээлгэн өгсөн байгаа.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Мөн шинээр ашиглалтад орж байгаа Хөшигийн хөндийн хилийн мэргэжлийн хяналтын албанд явган зорчигч, сэжиг бүхий зорчигчдыг тусгаарлах өрөөг зориулалтын дагуу засварлаж, 147.3 сая төгрөгөөр засварласан байгаа. Тавилга, эд хогшил болон бусад юмнуудад нийтдээ 140 сая төгрөгийн асуудлыг шийдсэн байгаа. Мөн Засгийн газар болон Хятадын буцалтгүй тусламжаар хилийн боомтуудын чадавхийг дээшлүүлэхээр Сангийн яаман дээр төсөл хэрэгжээд ажиллаж байгаа. Энэ хөрөнгө оруулалтын дагуу Сүхбаатар аймгийн Бичигт боомт, Замын-Үүд гээд нэлээн хэдэн боомтуудыг цогцоор нь асуудлыг шийдье,  ганц Мэргэжлийн хяналт биш, гааль болон бусад газруудыг цогцоор нь шийдэхээр ийм асуудлууд яригдаад явж байгаа. Энэ дээр манай зүгээс өөрсдийнхөө олон улсын гэрээ конвенцид заасны дагуу өвчтэй зорчигч орж ирэхэд тусгаарлах байр, хүнсний иж бүрэн лаборатори гэсэн бүх юмнуудаа зураг төсөлд нь тусгаад явж байгаа.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Ж.Бямбадорж дарга тодруулъя.</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Ж.Бямбадорж: - </w:t>
      </w:r>
      <w:r>
        <w:rPr>
          <w:rFonts w:ascii="Arial" w:hAnsi="Arial"/>
          <w:lang w:bidi="ar-SA" w:eastAsia="en-US" w:val="mn-MN"/>
        </w:rPr>
        <w:t xml:space="preserve">Омбудстмены асуудлыг тавьж байна. Манай Комисс чинь өргөн мандаттай, энэ асуудал манай анхааралд байдаг юм. Оюунчимэг гишүүн хэд хэдэн удаа хуралд оролцсон, энэ жил оролцож чадсангүй, мөнгө байхгүй. Өөрсдийнхөө зардлаар явж оролцох, Өмнөд Африкийн бүгд найрамдах улсад чадаагүй,  тэгээд Батлан хамгаалах яам адилхан төсвийн газраа, бид яг энд төсөвлөсөн юм байхгүй гээд явж чадаагүй.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Үүнтэй хангалттай үүргийг бид биелүүлж байгаа. Энэ 17 жилд тэр Зэвсэгт хүчин, Хилийн цэргийн дэглэлт гэдэг юман дээр нэлээн их юм хийсэн юм билээ. Бид нарын очоод үздэг юм бол хорих ангиуд дээрх эрүүдэн шүүлт, цэргийн мэргэжлийн бус ажил хийлгэдэг, мөн дэглэлт гэдэг юман дээр нэлээн анхаарч, санал асуулга авдаг, ер нь гайгүй болчихсон байх шүү гэж боддог юм.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Тэр аюултай байдлын талаар, хэвлэл мэдээллийнхэн байвал битгий хэлээрэй. Түүнээс хүнд юм байна. Энэ Байгаль орчны яам үнэхээр арга хэмжээ авч чадахгүй байна. Налайхад байгаа шилний үйлдвэрт цианит гэдэг юм складанд нь Улаанбаатарын хүн амыг, мэргэжлийн хүмүүс хэлсэн үг шүү, бүхэлд нь устгах нөхцөл байдал бий болсон. Түүнийг цэгцлээч гэдэг юмыг жил тойрон ярьж байна, мань мэт нь хүчрэхгүй юм билээ, Улсын Их Хуралдаа хэлчихье, үүнийг. Хэрэв шаардлагатай бол Хүний эрхийн дэд хорооны гишүүд тэр цианатыг нэг очоод үзээрэй. Түүний талаар мэргэжлийн ахмад хүмүүсийн ярьж байгаагаар тэр цианит хэрвээ гадагшаа гарах юм бол Улаанбаатарын бүх хүн амыг устгах бүрэн хүчин чадалтай л гэж хэлдэг юм билээ. Тэгээд би саяхан холбогдох хүмүүсээс асуусан, яагаад байна вэ гэсэн чинь, тэр чинь хувийн үйлдвэр учраас хувийн юмыг яаж ч чадахгүй байна гэсэн юм ярьж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П.Оюунчимэг гишүүн тодруулгад 1 минут.</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П.Оюунчимэг: -</w:t>
      </w:r>
      <w:r>
        <w:rPr>
          <w:rFonts w:ascii="Arial" w:hAnsi="Arial"/>
          <w:lang w:bidi="ar-SA" w:eastAsia="en-US" w:val="mn-MN"/>
        </w:rPr>
        <w:t>Баярлалаа. Би маш товчхон ганц юм хэлье. Сая Мэргэжлийн хяналтын байгууллагын ярьж байгаа асуудал дээр дандаа байр, хөрөнгийн асуудал шийдсэн тухай яриад байгаа юм. Бид нарын яриад байгаа юм бол мэдээж тэнд ажиллаж байгаа төрийн албан хаагчдын ажиллах орчин нөхцөлийн асуудлыг ярихаас гадна Монгол Улсын хилээр орж ирж байгаа хүнсний аюулгүй байдлын асуудлыг ярьж байгаа. Өнөөдөр  300 хэдэн шинжилгээ хийх ёстой, зөвхөн Замын-Үүдийн лаборатори дээр, ноднин бид нар гаргаж ирсэн.  40-50 хувийн урвалжийн шинжилгээ хийгдэхгүй байгаа юм. Яагаад хийгдэхгүй байна вэ гэхээр, урвалж авах хүнсний бүтээгдэхүүнд хэрэглэх ёстой урвалж нь төсөвт өртөгт суугаагүй учраас урвалжгүйгээр ганцхан хүнсний бүтээгдэхүүн дээр бид нар пистицийн шинжилгээ хийж оруулж ирж байгаа. Бусад хүн амд аюултай, хүн амын дунд тархах хүнсний бүтээгдэхүүний бусад шинжилгээ Замын-Үүд дээр хийгдэхгүй байгаа.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Тийм учраас би сая Төгсбаяр даргын асуудал дээр тэр машин, унаа, усаа шийдсэн л байдаг юм байгаа биз, энэ урвалжийн лабораторийн  хүчин чадлыг нэмэгдүүлэх  талаар ерөөсөө ярихгүй байгаа юм. Би үүнийг тусад нь оруулмаар санагдаад байгаа юм.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Б.Пүрэвдорж гишүүн асуултаа асуугаарай.</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Б.Пүрэвдорж: - </w:t>
      </w:r>
      <w:r>
        <w:rPr>
          <w:rFonts w:ascii="Arial" w:hAnsi="Arial"/>
          <w:lang w:bidi="ar-SA" w:eastAsia="en-US" w:val="mn-MN"/>
        </w:rPr>
        <w:t>Өнөөдөр 17 дахь илтгэлээ хэлэлцэж байна. Ер нь Хүний эрхийн үндэсний комиссыг бас ажил хийхгүй байна гэж зарим хүмүүс шүүмжилдэг. Тэгэхээр шүүмжилж байгаа тэр хүмүүст тодорхой хэмжээгээр энэ Монгол Улс дахь хүний эрх, эрх чөлөөний байдлын талаарх 17 дахь илтгэлийг тодорхой хэмжээгээр уншаасай. Энд мэдээж хүн хүчний хувьд бага энэ байгууллага нэлээн тодорхой ажлуудыг хийж байгаа гэдгийг хараасай гэж хүсэж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Тэгэхдээ бас хүмүүсийн шүүмжлэл тодорхой зүйл дээр байгаа. Ер нь хүний эрх зөрчиж байгаа зарим зөрчил дээр ялангуяа төрийн албан хаагчдыг халж байгаа асуудал дээр, нийгмийг цочроосон охид, эмэгтэйчүүдийн хүчирхийллийн асуудал дээр хоцорч дуугарч байна гэдэг шүүмжлэл байгааг Хүний эрхийн үндэсний комисс хүлээж аваасай гэж хүсэж байна.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Хоёр асуулт байна. Монгол Улсын иргэн хүн улсынхаа нутаг дэвсгэрт чөлөөтэй зорчих,  түр болон байнга оршин суух газраа чөлөөтэй сонгох эрхтэй гэж заасан байдаг 16.18-д. Гэтэл энэ эрхийг нь 2017 оны 1 сарын 9-нд Улаанбаатар хотын захирагч Су.Батболд захирамж гаргаж, Улаанбаатар хотод шилжин суурьшихыг хязгаарласан. Энэ нь нэгдүгээрт өөрөө сонгох эрхтэй гэдэг Үндсэн хуулийн заалтыг энэ захирамж нь өөрөө зөрчиж байгаа. Дээрээс нь энэ дотор агуулгаараа дахиад зөрчиж байгаа. Өөрөөр хэлбэл хүнийг эд хөрөнгөөр нь ялгаварлаж байгаа. Өөрөөр хэлбэл энэ нь байр авах боломжтой хүн шилжиж болно гэж. Тэгэхээр ийм хоёр том зөрчлийг хүний эрхийг зөрчсөн ийм акт байж байхад, энэ дээр яагаад Хүний эрхийн үндэсний комисс ажил хийхгүй байна вэ? Дээд шатны байгууллагад нь яагаад асуудал тавихгүй байна вэ? Үүнийг яагаад Үндсэн хуулийн цэцэд өгөхгүй байна?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Хөдөө орон  нутагт өөрсдийнхөө үр хүүхдийг илүү мэргэжил, боловсролтой болгочихъё гэсэн тийм хүмүүс ийшээ шилжихийг хүсэж байгаа. Хөдөө орон нутгаас ажил төрөлгүй тэр хүмүүс хотод ирээд ажил хийгээд амьдрах, амьдралаа сайжруулъя гэсэн хүмүүс наашаа шилжиж байгаа шүү дээ. Тэгэхээр энэ хүмүүсийн эрхийг хязгаарлаад байгаа энэ асуудал дээр хариу өгөөч ээ, ямар хийж байна вэ?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Хоёрдугаарт нь, манай Монголчууд хүний амьд явах эрхээр туршилт хийгээд байна. Нэг хэсэг манайхан энэ нийслэлийн утаатай холбоотойгоор түлшээ баахан туршсан. Дараа нь зуухаар нэлээн оролдлоо. Одоо тэгээд яндан дээр нь үзэж тарж байна. Тэгэхээр энэ янданд суурилуулсан 54 тэрбум төгрөг энэ олон нийтийн эсэргүүцэлтэй тулгараад больж байх шиг байна. Нарийн учир нь цаанаа цагт З квт цахилгаан хэрэглэдэг гэдэг тэр эдийн засгийн үндэслэлээ сайн тооцоогүйгээс болоод, энэ ачааллаа дийлэхгүй гэдэг байдлаар энэ жил буцаж байх шиг байна. Тэгэхдээ цаана нь эрдэмтдийн хэлж байгаагаар нэлээн хүний амьд явах эрхийн эсрэг тийм зүйл байж магадгүй гэж ярьж байгаа. Өөрөөр хэлбэл, манай зарим гэр хорооллын иргэд дугуй хүртэл шатааж байгаа. Гэтэл тэр яндангаараа хүнд металлууд нь бүгдээрээ шатчхаад дэгдэж гардаг. Гэтэл үүнийг янданд нь шүүлтүүр тавиад түүнийгээ тэр гэр дотор нь аваад үлдчих юм бол бүр гэр бүлийнх нь эсрэг гэмт үйлдэл биш юм уу?  Энэ жил явсангүй. Тэгэхдээ энэ хугацаанд ирэх жил дахиад ороод ирэх байх л даа. Энэ хугацаанд хорт хүнд металлууд нь яг тэр гэрт нь үлдэж байна уу? Үлдэхгүй байна уу гэдгийг сайн шалгасан тэр туршилтыг сайн хийгээрэй. Энэ дээр тодорхой арга хэмжээ аваарай. Тэгэхгүй бол хүний амьд явахын эсрэг тийм гэмт үйлдэл болчих вий.</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Ж.Бямбадорж дарга хариулъя.</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Ж.Бямбадорж: -</w:t>
      </w:r>
      <w:r>
        <w:rPr>
          <w:rFonts w:ascii="Arial" w:hAnsi="Arial"/>
          <w:lang w:bidi="ar-SA" w:eastAsia="en-US" w:val="mn-MN"/>
        </w:rPr>
        <w:t xml:space="preserve">Пүрэвдорж гишүүнд баярлалаа. Саяхан нэг сайт дээр ерөөсөө Хүний эрхийн комисс юм хийхгүй байна гээд. Тэгээд би тэр сэтгүүлчийг нь дуудаж ирээд, юмнуудаа үзүүлээд, материалаа үзүүлээд, хүүхдийн эрх зөрчигдөхөд дуугарахгүй байна гээд. Яг үнэнийг хэлэхэд бидэнд өөрийгөө, тэр хийж байгаа үйл ажиллагааг өдөр болгон сурталчлаад байх мөнгө байхгүй ээ. Бүх хэвлэл мэдээллийн байгууллага арилжааны нөхцөлтэй байдаг юм. Олон нийтийн радио телевиз тэр болгон бидэн дээр ирээд байж чадахгүй юмаа. Бид бол аливаа мэдээллийг авмагц ажилладаг, бүр авмагц шүү. Тухайлбал, Дорнодод саяны боосон хүүхдийн талаар өглөө нь тэр мэдээллийг авангуут л үйл ажиллагаа явуулсан, одоохондоо зохих мэдээллийг аваад л байж байна.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Энэ асуудлыг бид ярьдаг л байсан шүү дээ. Хүүхдийг аваачиж туслах малчны нэрийн дор боолчилж байна шүү гээд яриад л байсан. Тэр боолчлолын нэг нь сая гарлаа шүү дээ. 13 настай өдөр хагас сайн өдөр Дорнодын Цагаан-Овоод боож үхлээ. Боож үхсэн ч юм уу? Боогоод алчихсан ч юм уу бүү мэд. Эцэг, эх нь энд байдаг. Үүнийг чинь бид нар өдөр болгон, зүгээр гомдол өгсөн биш, мэдээлэл гармагц, энд тэндээс мэдээлмэгц, зарим нь бүр хэлж чадахгүй ч юмнууд гардаг, хийж байгаа шүү, үүнийг бас хэлчихье. Хүч бага байна, мөнгө бага байна, орон тоо бага байна. Гэсэн ч гэсэн яах вэ үүргээ биелүүлье л гэж боддог юм.</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Оршин сууж байгаа асуудлаар, Оюунчимэг гишүүн шүүхийн шийдвэр гаргуулсан гэж байна. Намайг Цэцийн дарга байхад Цэцийн дүгнэлт гарч хууль хүчингүй болсон, татвар авдаг байсан шүү дээ. Тэр хүчингүй болсон. Одоо тэр хэвээрээ л байгаа шүү дээ, татвар авч болохгүй гэдэг чинь ямар нэгэн байдлаар хорьж болохгүй л гэсэн үг шүү дээ. Энэ бол бүхний нүдэн дээр ил байгаа учраас Засгийн газар, Улсын Их Хурлын гишүүд, би л хэрвээ Улсын Их Хурлын гишүүн байсан бол Засгийн газарт  нэг асуулга тавиад л зогсоох асуудал энэ бол. Энэ бол Хүний эрхийн үндэсний комисст хүргээд байх асуудал бишээ.  Энэ бол ойлгомжтой асуудал. Зүгээр л цагаан цаасан дээр хараар бичсэн гэдэг шиг л асуудал. Хүнд байгааг ойлгож байна. Хүнд байгааг шийдэхийн тулд Үндсэн хууль зөрчиж болохгүй.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Тэр утаа, яндангийн асуудал бол гишүүд минь та бүхэн өөрсдөө л шийдэж үзээрэй. Тэр битгий хэл юмаа шийдэж чадахгүй байна шүү, манай ч асуудал бас нэг талаар мөн, нөгөө талаар биш.</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Оюунчимэг гишүүнд микрофон өгье.</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П.Оюунчимэг: - </w:t>
      </w:r>
      <w:r>
        <w:rPr>
          <w:rFonts w:ascii="Arial" w:hAnsi="Arial"/>
          <w:lang w:bidi="ar-SA" w:eastAsia="en-US" w:val="mn-MN"/>
        </w:rPr>
        <w:t>2002 онд яг ийм том хүнээс 50 мянга, хүүхдээс 20 мянган төгрөг хотод шилжин ирэгсдээс авдаг байсан юм. Нийслэлийн Засаг даргын шийдвэрээр. 2003 онд Чингэлтэй дүүргийн шүүхэд Комисс нэхэмжлэл гаргаад, энэ авдаг татварыг хүчингүй болгуулаад, давах шатны шүүх дээр нь түүнийг зөвшөөрөөд, Улсын Дээд шүүхээр энэ Нийслэлийн Засаг даргын захирамжийг хүчингүй болгоод, Улаанбаатар хотод хөдөө орон нутгаас шилжин ирэгсдийн хөдөлгөөн дээр ямар нэгэн татвар, ямар нэгэн хязгаарлалт тогтоохыг хүчингүй болгож шийдвэрлүүлж байсан.</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Дараа нь энэ хууль дүрмийн заалт нь Үндсэн хуулийн цэц дээр очиж шийдвэрлэгдсэн гэдгийг би бас нэмж хэлье.</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Энэ микрофоныг ашиглаад, ер нь хурал даргалахын давуу эрхийг ашиглаад жаахан уртхан шиг цагаар асуултуудаа асууя. Нэлээд сайн илтгэл болсон байна, энэ манай 17 дахь илтгэл. Үндсэндээ манай Хүний эрхийн үндэсний комиссын гишүүд маань, манай энэ ажлын алба маш хязгаарлагдмал нөөцөөр, хүн хүчний, санхүү, мөнгөний, техник тоног төхөөрөмжийн ийм хязгаарлагдмал нөөцөөр маш сайн ажиллаж байгаа гэдэг нь тодорхой байгаа.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Гэхдээ мэдээж энд ялангуяа энэ 5 сэдвээр хийсэн илтгэлтэй холбоотой нэлээн хэдэн асуулт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Нэгдүгээрт, одоо энэ З төрлийн хохирлыг оруулсан байна. Энэ төрийн албан тушаалтан, иргэдээс учруулсан хохирол гээд 129-136 дугаар хуудсан дээр. Энэ Хууль зүй, дотоод хэргийн сайдын тушаалаар тухайн хохирлыг мөнгөн дүнгээр бүрэн болон хэсэгчлэн олгох, харилцан адилгүй хуваарилж байна гэсэн ийм дүгнэлт гарсан байгаа.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Тухайлбал, шүүхээс нэг иргэн “Ж”-д 2017 онд Засгийн газрын нөөцөөс тэрбум 800 мянган төгрөг нөхөн төлүүлэхээр шийдвэрлэсэн байна. Тэгсэн мөртлөө нөгөө бас л ижил кейстэй, яг ижил тохиолдолд энэ нөхөн төлбөр нь хамаагүй бага байгаад байдаг. Энэ нь өөрөө төрийн байгууллага, албан тушаалтны буруутай үйл ажиллагаанаас болоод иргэд хохироод байдаг. Энэ дээр манай Хууль зүйн яам ер нь яагаад энэ Хууль зүйн сайдын багцад байдаг юм бэ? Энэ нь яаж хуваарилагддаг юм бэ? Энэ нөхөн олговрыг яаж олгож байна вэ гэдэг асуулт байгаа. Хохирлыг Хууль зүйн сайд хуваарилаад байгаа нь хир зөв бэ? Хир зохимжтой вэ? Энэ нь магадгүй Шүүхийн шийдвэр биелүүлэх газраа байх нь илүү зохимжтой бишүү гэдэг нэгдүгээр асуулт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Хоёр дахь асуулт, энэ ял шийтгүүлсэн ялтны талаар хөдөлмөр эрхлэлт, хохирол нөхөн төлүүлэлтийн талаар үнэлгээ гарсан байгаа юм. Жишээлбэл,  2015 онд ялтнуудаар хөдөлмөр эрхлэлтийг нь нөхөн төлбөрөөс  169 тэрбум төгрөг төлөх байтал 15 тэрбум төгрөгийг төлсөн буюу 10 хувьтай тэнцэхүйц ийм төлбөрийг төлсөн байна.  2016 онд 170 тэрбум төгрөгөөс 8-хан тэрбумыг, энэ тоо нь бүр багассан. Дараа нь, 2017 онд 151 тэрбумаас 48 тэрбумыг л төлсөн байна. Үндсэндээ төлөх ёстой төлбөрүүдээс 100 хувь байлаа гэж бодоход 10-аас 30, 40 хувийг л оногдуулаад байдаг. Энэ ер нь эцсийн бүлэгтээ, ялангуяа энэ ялтнуудын хөдөлмөрийг хир зөв үнэлж байгаа вэ? Энэ хөдөлмөрийн үнэлгээ нь хэтэрхий бага байна уу?  Эд нар ч гэсэн ямар нэгэн байдлаар бас энд хүний эрх зөрчигдөж байна уу гэдэг асуулт байгаа юм.</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Гурав дахь асуулт маань, хилийн боомтын талаар, түрүүн Батзандан гишүүн асуусан. Хилийн боомтод ажиллаж байгаа иргэний харьяат, хилийн цэрэг, гаалийн байгууллагуудын нэмж илүү цогцоор нь ажиллах хэрэгтэй байна. Мэдээж тэр нь зөв. Гэтэл яг энэ тайлангаас үзэхэд, ерөөсөө энэ хилийн боомтод ажиллаж байгаа мэргэжилтнүүд, хяналтын байгууллагын албан тушаалд хөдөлмөрлөх, амьдрах нөхцөл ерөөсөө маш муу байна. Гэр бүл салалт онцгой их байна. Энэ нь ялангуяа эмэгтэй албан хаагчдад маш их тулгарч байна. Сэлгэн ажиллуулалт хир их байна вэ? Түүн дээр тодорхой хариултыг өгмөөр байна. Энэ тайлангийн 151 дүгээр хуудсан дээр биччихсэн байгаа. Одоо жишээлбэл Сэлэнгэ аймгийн Сүхбаатар дахь байнгын ажиллагаатай боомт дээр ярьж байгаа юм. Энд 12 өрөөтэй ажлын байртай, маш жижигхэн метр квадраттай, ямар ч ажиллах, амьдрах нөхцөл байхгүй ийм нөхцөлд ажилладаг юм байна. Энэ дээр ямар арга хэмжээ авч байна вэ гэдэг асуулт байгаа.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Дөрөв дэх асуулт маань, энэ гэр бүлийн хүчирхийлэлтэй холбоотой. 185 дугаар хуудсанд байна, 2015 оноос 2017 гэр бүлийн хүчирхийлэл нэмэгдсэн тоон статистикууд гарч байгаа юм. Тэгэхээр  2018 оны 2 дугаар сарын байдлаар 7000 гаруй хүчирхийлэл гарсан байна. Энэ нь өөрөө юутай холбоотой юм бэ? Магадгүй Гэр бүлийн хүчирхийлэлтэй тэмцэх тухай хууль гарсантай холбоотой байж магадгүй, магадгүй 108 утсыг ажиллуулсантай холбоотой байж магадгүй. Энэ дээр ямар арга хэмжээ авч байна вэ гэдгийг асууя.</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Тав дахь асуулт маань, НҮБ-ын Хүний эрхийн зөвлөлөөс өгсөн зөвлөмжүүд байна. Өсвөр охидын жирэмслэлт маш их болж байна. Ялангуяа өсвөр насны охидод эмч абортыг маш их хийж байна. Хэдийгээр шууд энэ тайлан дээр бичээгүй байгаа ч гэсэн үндсэндээ хөдөө орон нутаг, сумдад энэ асуудал маш их гарч байна. Энэ өсвөр насны охидын жирэмслэлтийн талаар ямар ажил, арга хэмжээ авч байна вэ? Энэ нь өөрөө эцсийн бүлэгтээ үргүйдлийг үүсгэж байна. Түүний дараа Монгол Улсын хүн амын тоонд хамааралтай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Хамгийн сүүлийн асуулт маань, энэ гэр бүлийн хүчирхийлэл, бэлгийн дарамт   нь ураг төрөл, ах дүү хамаатан садны дотор ч гараад байна, гадуур ч бас энэ үйлдлүүд хийгдээд байна. Энэ талаар ямар ажил, арга хэмжээ авч хэрэгжүүлж байна вэ гэдэг асуулт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Товчхон хариулаарай. Бямбадорж дарга, Оюунчимэг гишүүн.</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Ж.Бямбадорж: - </w:t>
      </w:r>
      <w:r>
        <w:rPr>
          <w:rFonts w:ascii="Arial" w:hAnsi="Arial"/>
          <w:lang w:bidi="ar-SA" w:eastAsia="en-US" w:val="mn-MN"/>
        </w:rPr>
        <w:t>Би сүүлийн асуултад хариулъя гэж бодож байна. Тэр гэр бүлийн хүчирхийллийн асуудал. Ер нь  гэр бүлийн хүчирхийллийн тоо нэмэгдсэн. Гэр бүлийн хүчирхийлэлд өртөгсдийн тоо нэмэгдсэн. Сая Н.Оюундарь дарга хэллээ. Энэ бол гэр бүлийн хүрээнд хийгддэг гэж үнэн.  Гэр бүлийн хүрээнд хийгддэг байсан учраас нуугдмал байдаг байсан. Одоо үүнийг чинь хүн амд цацчихаар мэдээлэл маш их ирдэг болсон. Дээр нь нэмээд нэг зүйлийг хэлье. Насанд хүрээгүй,  17 хүртэлх насны хүүхдийн жирэмслэлт нэмэгдсэн. Хийсвэр хийлгэж байгаа явдал тооцоогүй болсон, хяналтгүй болсон шүү. Яагаад хяналтгүй болсон бэ гэхээр, энэ дээр цаг бага байгаа учраас нарийн юм хэлэх боломж алга. Хувийн эмнэлэг, улсын эмнэлэг адилхан байх ёстой гэдэг зарчмыг барьснаас болоод, улсын эмнэлэг дээр нэгдсэн тоо бүртгэл хөтөлдөг байснаа больчихсон, хувийн эмнэлэг дээр тэр болгон түүнийг бүртгэдэггүй, ийм байдлаас болоод хийсвэр хийлгэж байгаа бага насны хүүхдийн тоо гарахгүй байгаа.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Дээр нь нэмээд хүүхдэд хийсвэр хийхийн өмнө эцэг, эхийг нь дууддаг юм байна. Тэгэхээр эцэг, эх нь  түүнийг нь мэдээд, тэр эмнэлэг дээр бөөн хэрүүл болдог. Тийм ч учраас тэр хувийн эмнэлгийнхэн хэл чимээгүй, тэгээд мөнгийг нь аваад хийдэг явдал их байгаа шүү. Үүний талаар бид тайланг ч өгч болно.  2016-17 онд 17 хүртэлх насны 298 хүүхэд хүчирхийлэлд өртсөн бол зөвхөн 2017 оны статистикаар 343 болж өсөж байна, 2 жилийнхээсээ нэмэгдэж гарсан байгаа. Энэ юутай холбоотой байна вэ гэхээр, нуугдмал хэргүүд илэрч байна. Энэ бас нэг талаасаа ач холбогдолтой байж магадгүй гэж бодож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Тэр ялтны хөдөлмөрийн асуудлаар аудит хийлгэх ёстой. Оюунчимэг гишүүн энэ дээр нэлээн тодорхой хэлнэ. Хаашаа мөнгө орж байна вэ гэдгийг төр, Улсын Их Хурлаас шийдвэр гаргаад аудит оруулахад гараад ирэх байхаа тэр мөнгө.</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 xml:space="preserve">Асуултуудаа дуусгачхаад, тэртэй тэргүй энэ илтгэл маань Байнгын хороо уруу орно шүү дээ, тэр үедээ цааш нь үргэлжлүүлээд явъя.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 П.Оюунчимэг гишүүний микрофоныг өгье.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П.Оюунчимэг: - </w:t>
      </w:r>
      <w:r>
        <w:rPr>
          <w:rFonts w:ascii="Arial" w:hAnsi="Arial"/>
          <w:lang w:bidi="ar-SA" w:eastAsia="en-US" w:val="mn-MN"/>
        </w:rPr>
        <w:t xml:space="preserve">Баярлалаа. Бид нар энэ хохирол нөхөн төлүүлэх дээр З бүлэгт бичсэн тухай Н.Оюундарь гишүүн ярьсан. Энэ дээр нэг асуудал байгаа. Юу вэ гэхээр, төрийн байгууллага, албан тушаалтнуудаас иргэдэд учруулсан хохирлыг нөхөн төлүүлэх шүүхийн шийдвэрийн биелэлттэй холбоотой асуудал байгаад байгаа юм. Түүн дээр Хууль зүйн сүүлийн З сайд, миний санаж байгаагаар  2006-2007 онд бол Шүүхийн шийдвэр гүйцэтгэх ерөнхий газар гүйцэтгэх хуудсаар шууд иргэдэд нөхөн төлбөрийг улсын сангаас олгуулж байсан.  Сүүлийн З сайдын хувьд сайд тушаал гаргаж байгаа. Тэгээд тэр тушаалын үндэслэлийг бид нар үзэхээр, Монгол Улсын Засгийн газрын тухай хуулийн 24 дүгээр зүйлийн 24.2,  14.2, 14.2.5. 14.4 гэсэн заалтуудыг бариад тухайн оныхоо Төсвийн тухай хуулийн тодорхой зүйл заалтыг үндэслээд өөрийн багцад хамаарах төсвөөс хөрөнгө хуваарилан тушаал гаргаад байгаа юм.  Тэгээд энэ тушаалын үндэслэлийг нь харахаар яг одоо шүүхийн шийдвэртэй холбоотой төрийн байгууллага, албан тушаалтнуудаас иргэдэд учирсан хохирлыг нөхөн төлүүлэх энэ зохицуулалт саяны миний дурдсан үндэслэлүүд дотор ерөөсөө байхгүй байгаа юм.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Тэгэхээр энэ үндэслэлийн төлөлтийг харахаар, улсын төсвөөс Хууль зүй, дотоод хэргийн сайдад 2015 онд 415 сая төгрөг өгөөд, 2016-2017 онд 400-аас буухгүй яваад байсан юм билээ. Тэгээд хохирол төлөлтийг нь харахаар, иргэн, аж ахуйн нэгж, хуулийн этгээд гэж хоёр хуваагаад, энэ төлбөрийг төлөөд байгаа юм. Тэгэхээр тушаалаар төлөгдөж байгаа иргэн, аж ахуйн нэгжид очиж байгаа төлбөр бүрэн төлөгдөөд байна уу гэхээр, хувааж төлөөд байгаа юм. 2016 онд талыг нь өгөөд, 2018 он хүртэл өгөөгүй байх жишээтэй. Эсхүл 2015 онд талыг нь өгөөд, 2017 онд өгөөгүй байх жишээтэй.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Тэгэхээр энэ нь өөрөө юуг хэлээд байна вэ гэхээр, Шүүхийн шийдвэр гүйцэтгэх ерөнхий газар шүүхийн шийдвэрийн дагуу иргэн болон аж ахуйн нэгж, иргэдэд хохирлыг нөхөн төлүүлэх үүргийг эд нар хуулиар хүлээж байгаа. Тэгэхээр энэ хуулийн зүйл, заалтаас үл хамаараад Засгийн газрын гишүүн өөрөө энэ хохирлын нөхөн төлүүлэлтийг олгож байгаа хир зөв зүйтэй вэ гэдэг энэ асуудлыг бид нар оруулж ирсэн.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 xml:space="preserve">Дараагийн нэг асуудал нь, иргэний журмаар шүүхийн шийдвэрийн биелэлт үндсэндээ та нар өөрсдөө харж байгаа байх, маш хангалтгүй тоотой гарсан. Энэ нь өөрөө 2017 оны 7 сарын 1-нээс Шүүхийн шийдвэрийн багц хууль хэрэгжиж эхэлсэнтэй холбоотойгоор шийдвэр гүйцэтгэгч нарын урамшууллын систем алга болсонтой нэгдүгээрт холбоотой байгаа юм. Тэгэхээр бид нар яагаад тэгж үзээд байна вэ? Урд талын онуудын гүйцэтгэлийг харахаар, гүйцэтгэл үндсэндээ гайгүй гүйцэтгэлтэй яваад байсан тоо баримтууд харагдаад байдаг юм. Тэгээд одоо энэ  хууль хэрэгжсэнээс хойших тоо баримтуудыг бид нар харахад улсын хэмжээнд З-хан хувьтай, нийслэлийн хэмжээнд 2-хон хувьтай гүйцэтгэх баримт бичгийн төлөлтийг харахаар ингэж гарч ирээд байгаа юм. Жишээ нь, хүн ам олноор төвлөрсөн нийслэлд гэхэд 2018 оны 1 сарын байдлаар авч үзэхэд, шүүхийн шийдвэрийн биелэлт нь нийт төлөлтийнхөө дөнгөж гурав аравны 9 хувийг эзэлж байгаа юм. Улсын хэмжээнд иргэний шүүхийн шийдвэртэй холбоотой нөхөн төлөлт мөн ялгаагүй маш бага хэмжээтэй гарч байгаа юм. Энэ дээр тоо баримт, гүйцэтгэлээр нь гарчихсан.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Түрүүн тэр хорих ангид ял эдэлж байгаа ялтнуудын хөдөлмөр эрхлэлтийн нөхөн төлбөр маш бага байгаа нь юутай холбоотой вэ гэхээр, хоригдлын хөдөлмөрийн үнэлгээтэй холбоотой. Өнөөдөр би жишээ ярихад,  эрэгтэйчүүдийн 409 дүгээр хаалттай хорих ангийн талаар ярихад, тэнд томоохон үйлдвэрүүд орж байгаа юм. Тэгэхэд хөдөлмөрийн хөлсний доод хэмжээ тухайн ялтны хөдөлмөрийг гүйцэтгэлээс нь үл хамаараад тогтоочихсон. Тэгэхээр нөгөө хохирогчид нөхөн төлөх ёстой мөнгө үндсэндээ хорих ангийн өөрийн санд татан төвлөрүүлэлт хийснээс шалтгаалаад  . . . /хугацаа дуусав/.</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 xml:space="preserve">Сая өсвөр насны жирэмслэлт, төрөлтийн талаар тодруулаарай, тэгээд гэр бүлийн хүчирхийллийн талаар, тэгээд хүүхдийг үл хайхрах тэр байдалтай холбоотой та нар ямар юм хийсэн бэ?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1 минут.</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П.Оюунчимэг: - </w:t>
      </w:r>
      <w:r>
        <w:rPr>
          <w:rFonts w:ascii="Arial" w:hAnsi="Arial"/>
          <w:lang w:bidi="ar-SA" w:eastAsia="en-US" w:val="mn-MN"/>
        </w:rPr>
        <w:t>Хөдөө орон нутагт, ялангуяа сумдад бага насны хүүхдүүд ойр тойрны гэр бүлийн хүчирхийллийн улмаас жирэмсэн болсон тохиолдлууд нэлээдгүй байгаа, түүний жишээ, тоо баримтууд нь байгаа. Энэ дээр гол яригдаж байгаа юм бол төрөлт эмнэлэг дээр явагдаж байгаа. Эмнэлгийн байгууллага, цагдаагийн байгууллага хоёрын хоорондын мэдээ солилцоо огт байхгүй байгаа. Жишээлбэл, нэг аймаг дээр 8 хүүхэд 2018 онд насанд хүрээгүй хүүхэд төрсөн байхад, цагдаагийн байгууллага дээр ганцхан иргэн дээр эрүү үүссэн байгаа. 7 хүн өнөөдөр ял завшиж байна. Яагаад үүнийг яриад байна вэ гэхээр, зөвхөн гэр бүлийн хүчирхийллээр хойд эцэг нь хүчиндэж, жирэмсэн болгосон тохиолдлыг шалгаад бусад нь насанд хүрээгүй амьд хүүхэд төрүүлчихсэн байхад энэ асуудал шалгагдахгүй яваад байгааг цагдаагийн байгууллагыг тусгайлж бид нар санал зөвлөмж, шаардлага өгч байж энэ хэргүүд дахиж явж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Нөгөөтэйгүүр, хөдөө орон нутагт, ялангуяа алслагдсан сум, баг дээр бага насны хүүхэд жирэмсэн болсныг нууж хаасан тохиолдлууд нэлээдгүй байгаа. Энэ дээр цагдаагийн байгууллага хэсгийн төлөөлөгчөөр дамжуулан . . . /хугацаа дуусав/.</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Н.Оюундарь: - </w:t>
      </w:r>
      <w:r>
        <w:rPr>
          <w:rFonts w:ascii="Arial" w:hAnsi="Arial"/>
          <w:lang w:bidi="ar-SA" w:eastAsia="en-US" w:val="mn-MN"/>
        </w:rPr>
        <w:t xml:space="preserve">Цаг дууссан байна. Энэ хэлэлцэж байгаа асуудалтай холбоотой үг хэлэх гишүүд байна уу?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Батзандан гишүүнээр тасалъя. Батзандан гишүүний микрофоныг өгье.</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 xml:space="preserve">Ж.Батзандан: - </w:t>
      </w:r>
      <w:r>
        <w:rPr>
          <w:rFonts w:ascii="Arial" w:hAnsi="Arial"/>
          <w:lang w:bidi="ar-SA" w:eastAsia="en-US" w:val="mn-MN"/>
        </w:rPr>
        <w:t>Би Хүний эрхийн дэд хорооны үйл ажиллагаатай холбоотой нэгдүгээрт бас санал хэлэх гээд байгаа юм. Хүний эрхийн комиссын шийдвэр, зөвлөмжүүдийг хэрэгжүүлж, дэмжлэг үзүүлэхийн тулд Хүний эрхийн дэд хороо дэмжлэг үзүүлж, ажиллаж байж, идэвхтэй ажиллаж байж үр дүн гарна. Би сөрөг хүчний гишүүн Хүний эрхийн дэд хороог хуралдуулаач, Хүний эрхийн дэд хорооныхоо даргыг томилж өгөөч гэж эрх баригч намаас олон удаа, олон сар гуйж байж, арай ч үгүй нэг хуралдаж байна шүү. Хүний эрхийн дэд хорооны дарга нь хэн гэдэг нь мэдэгдэхгүй олон сар болсон шүү, одоо өнөөдөр хуралдуулсанд баярлаж байна. Оюундарь гишүүн дарга нь болсон юм байна. Одоо иргэд, олон түмэн бараг өнөөдөр л мэдэж байгаа байх. Ийм л байна.</w:t>
      </w:r>
    </w:p>
    <w:p>
      <w:pPr>
        <w:pStyle w:val="style0"/>
        <w:widowControl/>
        <w:suppressAutoHyphens w:val="false"/>
        <w:jc w:val="both"/>
      </w:pPr>
      <w:r>
        <w:rPr>
          <w:rFonts w:ascii="Arial" w:hAnsi="Arial"/>
          <w:lang w:bidi="ar-SA" w:eastAsia="en-US" w:val="mn-MN"/>
        </w:rPr>
        <w:tab/>
      </w:r>
    </w:p>
    <w:p>
      <w:pPr>
        <w:pStyle w:val="style0"/>
        <w:widowControl/>
        <w:suppressAutoHyphens w:val="false"/>
        <w:jc w:val="both"/>
      </w:pPr>
      <w:r>
        <w:rPr>
          <w:rFonts w:ascii="Arial" w:hAnsi="Arial"/>
          <w:lang w:bidi="ar-SA" w:eastAsia="en-US" w:val="mn-MN"/>
        </w:rPr>
        <w:tab/>
        <w:t xml:space="preserve">Хүний эрхийн нөхцөл байдал Монгол оронд сүүлийн жилүүдэд эрс дордсон тухай Хууль зүйн сайд Нямдорж Их Хурал дээр маш тодорхой ярьж байгаа. Иргэд, олон түмэн ч үүнийг хэлж байгаа,  маш их хүндэрч байна гэж.  Хүний хулгай гарах гэж байна  гэдэг асуудал дээр Хүний эрхийн комисс яагаад дуугарахгүй байна вэ? Хүний хулгай хийгээд байхад Хүний эрхийн дэд хороо нь яагаад хуралдахгүй байгаа юм бэ? Шүүхийн шийдвэр хэрэгжихгүй боллоо гэж нийгмээрээ орилж байна, бархирч байна,  гомдоллож байна. 300 гаруй захиргааны хэргийн шүүхийн шийдвэр биелэхгүй, биелүүлж чадахгүй сууж байна. Иргэний хэргийн шийдвэрүүд, шүүхийн шийдвэрүүд биелэхгүй байна гээд олон асуудал байна аа. Тэгэхээр одоо манай Дэд хороо  би нэг л зүйлийг хүсье. </w:t>
      </w:r>
      <w:bookmarkStart w:id="3" w:name="_GoBack"/>
      <w:bookmarkEnd w:id="3"/>
      <w:r>
        <w:rPr>
          <w:rFonts w:ascii="Arial" w:hAnsi="Arial"/>
          <w:lang w:bidi="ar-SA" w:eastAsia="en-US" w:val="mn-MN"/>
        </w:rPr>
        <w:t>14 хоног болгон Хүний эрхийн дэд хороо хуралд. Энэ Комиссын шийдвэрүүдийг, санал, зөвлөмжүүдийг биелүүлэхийн тулд бид араас нь явахгүй бол Улсын Их Хурлын бүтцийн байгууллага нь өөрөө санаачлага гаргаж явахгүй бол наад комиссын чинь шийдвэрүүд зүгээр л цаасан дээр үлдэнэ шүү гэдгийг би Хүний эрхийн дэд хорооны даргад онцгой анхааруулж хэлэхийг хүсэж байна.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Одоо мэдээж илтгэлтэй холбоотой Хууль зүйн байнгын хороон дээр ярих учраас яриагаа тийш нь чиглүүлье. Гэхдээ надад ирсэн мэдээллээр Комиссын маань 2-3 гишүүний бүрэн эрхийн хугацаа дуусчихсан байгаа гэдэг асуудал ярьж байгаа, энэ үнэн үү? Худал уу? Надад бас мэдээлэл өгөөрэй.</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r>
        <w:rPr>
          <w:rFonts w:ascii="Arial" w:hAnsi="Arial"/>
          <w:b/>
          <w:bCs/>
          <w:lang w:bidi="ar-SA" w:eastAsia="en-US" w:val="mn-MN"/>
        </w:rPr>
        <w:t>Н.Оюундарь: -</w:t>
      </w:r>
      <w:r>
        <w:rPr>
          <w:rFonts w:ascii="Arial" w:hAnsi="Arial"/>
          <w:lang w:bidi="ar-SA" w:eastAsia="en-US" w:val="mn-MN"/>
        </w:rPr>
        <w:t xml:space="preserve">Саяны хэлэлцэж байгаа асуудлаар ерөнхийдөө гишүүд маань үг хэлж, асуулт асууж дууслаа.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Монгол Улс дахь хүний эрх, эрх чөлөөний байдлын талаарх Хүний эрхийн үндэсний комиссын 17 дахь илтгэлийг Хууль зүйн байнгын хорооны хуралдаанд хэлэлцүүлэх нь зүйтэй гэсэн томьёоллоор санал хураая.</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5 гишүүний 4 нь дэмжиж, 80.0 хувиар санал дэмжигдлээ.</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Хууль зүйн байнгын хороонд Хүний эрхийн дэд хорооны санал, дүгнэлтийг Хүний эрхийн дэд хорооны дарга Оюундарь танилцуулна.</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Хүний эрхийн дэд хорооны энэ өдрийн хуралдааны хэлэлцэх асуудал дууссан тул хуралдаан хаасныг мэдэгдье.</w:t>
      </w:r>
    </w:p>
    <w:p>
      <w:pPr>
        <w:pStyle w:val="style0"/>
        <w:widowControl/>
        <w:suppressAutoHyphens w:val="false"/>
        <w:jc w:val="both"/>
      </w:pPr>
      <w:r>
        <w:rPr/>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Дууны бичлэгээс хуулбарласан:</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t>ПРОТОКОЛЫН АЛБАНЫ</w:t>
      </w:r>
    </w:p>
    <w:p>
      <w:pPr>
        <w:pStyle w:val="style0"/>
        <w:widowControl/>
        <w:suppressAutoHyphens w:val="false"/>
        <w:jc w:val="both"/>
      </w:pPr>
      <w:r>
        <w:rPr>
          <w:rFonts w:ascii="Arial" w:hAnsi="Arial"/>
          <w:lang w:bidi="ar-SA" w:eastAsia="en-US" w:val="mn-MN"/>
        </w:rPr>
        <w:tab/>
        <w:t xml:space="preserve">ШИНЖЭЭЧ </w:t>
        <w:tab/>
        <w:tab/>
        <w:tab/>
        <w:tab/>
        <w:tab/>
        <w:tab/>
        <w:tab/>
        <w:tab/>
        <w:t xml:space="preserve">Д.ЦЭНДСҮРЭН </w:t>
      </w:r>
    </w:p>
    <w:p>
      <w:pPr>
        <w:pStyle w:val="style0"/>
        <w:widowControl/>
        <w:suppressAutoHyphens w:val="false"/>
        <w:jc w:val="both"/>
      </w:pPr>
      <w:r>
        <w:rPr/>
      </w:r>
    </w:p>
    <w:p>
      <w:pPr>
        <w:pStyle w:val="style0"/>
        <w:widowControl/>
        <w:suppressAutoHyphens w:val="false"/>
        <w:jc w:val="both"/>
      </w:pPr>
      <w:r>
        <w:rPr>
          <w:rFonts w:ascii="Arial" w:hAnsi="Arial"/>
          <w:lang w:bidi="ar-SA" w:eastAsia="en-US" w:val="mn-MN"/>
        </w:rPr>
        <w:tab/>
      </w:r>
    </w:p>
    <w:p>
      <w:pPr>
        <w:pStyle w:val="style0"/>
        <w:widowControl/>
        <w:suppressAutoHyphens w:val="false"/>
        <w:jc w:val="both"/>
      </w:pPr>
      <w:r>
        <w:rPr/>
      </w:r>
    </w:p>
    <w:p>
      <w:pPr>
        <w:pStyle w:val="style0"/>
      </w:pPr>
      <w:r>
        <w:rPr/>
      </w:r>
    </w:p>
    <w:sectPr>
      <w:footerReference r:id="rId2" w:type="first"/>
      <w:type w:val="nextPage"/>
      <w:pgSz w:h="15840" w:w="12240"/>
      <w:pgMar w:bottom="1177" w:footer="0" w:gutter="0" w:header="0" w:left="1904" w:right="932" w:top="1134"/>
      <w:pgNumType w:fmt="decimal"/>
      <w:formProt w:val="false"/>
      <w:titlePg/>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Foot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color w:val="00000A"/>
      <w:sz w:val="21"/>
      <w:szCs w:val="21"/>
      <w:lang w:bidi="hi-IN" w:eastAsia="zh-CN"/>
    </w:rPr>
  </w:style>
  <w:style w:styleId="style21" w:type="character">
    <w:name w:val="mceitemhidden"/>
    <w:basedOn w:val="style15"/>
    <w:next w:val="style21"/>
    <w:rPr/>
  </w:style>
  <w:style w:styleId="style22" w:type="character">
    <w:name w:val="mceitemhiddenspellword"/>
    <w:basedOn w:val="style15"/>
    <w:next w:val="style22"/>
    <w:rPr/>
  </w:style>
  <w:style w:styleId="style23" w:type="character">
    <w:name w:val="strongemphasis"/>
    <w:basedOn w:val="style15"/>
    <w:next w:val="style23"/>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caption"/>
    <w:basedOn w:val="style0"/>
    <w:next w:val="style29"/>
    <w:pPr>
      <w:suppressLineNumbers/>
      <w:spacing w:after="120" w:before="120"/>
      <w:contextualSpacing w:val="false"/>
    </w:pPr>
    <w:rPr>
      <w:i/>
      <w:iCs/>
    </w:rPr>
  </w:style>
  <w:style w:styleId="style30" w:type="paragraph">
    <w:name w:val="Table Contents"/>
    <w:basedOn w:val="style0"/>
    <w:next w:val="style30"/>
    <w:pPr>
      <w:suppressLineNumbers/>
    </w:pPr>
    <w:rPr/>
  </w:style>
  <w:style w:styleId="style31" w:type="paragraph">
    <w:name w:val="Footer"/>
    <w:basedOn w:val="style0"/>
    <w:next w:val="style31"/>
    <w:pPr>
      <w:suppressLineNumbers/>
      <w:tabs>
        <w:tab w:leader="none" w:pos="4680" w:val="center"/>
        <w:tab w:leader="none" w:pos="9360" w:val="right"/>
      </w:tabs>
    </w:pPr>
    <w:rPr>
      <w:sz w:val="21"/>
      <w:szCs w:val="21"/>
    </w:rPr>
  </w:style>
  <w:style w:styleId="style32" w:type="paragraph">
    <w:name w:val="Header"/>
    <w:basedOn w:val="style0"/>
    <w:next w:val="style32"/>
    <w:pPr>
      <w:suppressLineNumbers/>
      <w:tabs>
        <w:tab w:leader="none" w:pos="4680" w:val="center"/>
        <w:tab w:leader="none" w:pos="9360" w:val="right"/>
      </w:tabs>
    </w:pPr>
    <w:rPr>
      <w:sz w:val="21"/>
      <w:szCs w:val="21"/>
    </w:rPr>
  </w:style>
  <w:style w:styleId="style33" w:type="paragraph">
    <w:name w:val="textbody"/>
    <w:basedOn w:val="style0"/>
    <w:next w:val="style33"/>
    <w:pPr>
      <w:widowControl/>
      <w:suppressAutoHyphens w:val="false"/>
      <w:spacing w:after="28" w:before="28"/>
      <w:contextualSpacing w:val="false"/>
    </w:pPr>
    <w:rPr>
      <w:lang w:bidi="ar-SA" w:eastAsia="en-US"/>
    </w:rPr>
  </w:style>
  <w:style w:styleId="style34" w:type="paragraph">
    <w:name w:val="tablecontents"/>
    <w:basedOn w:val="style0"/>
    <w:next w:val="style34"/>
    <w:pPr>
      <w:widowControl/>
      <w:suppressAutoHyphens w:val="false"/>
      <w:spacing w:after="28" w:before="28"/>
      <w:contextualSpacing w:val="false"/>
    </w:pPr>
    <w:rPr>
      <w:lang w:bidi="ar-SA" w:eastAsia="en-US"/>
    </w:rPr>
  </w:style>
  <w:style w:styleId="style35" w:type="paragraph">
    <w:name w:val="Frame contents"/>
    <w:basedOn w:val="style25"/>
    <w:next w:val="style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2018-10-30T16:16:00.00Z</dcterms:created>
  <cp:lastModifiedBy>Microsoft Office User</cp:lastModifiedBy>
  <cp:lastPrinted>2018-10-31T17:41:03.68Z</cp:lastPrinted>
  <dcterms:modified xsi:type="dcterms:W3CDTF">2018-10-31T09:40:00.00Z</dcterms:modified>
  <cp:revision>32</cp:revision>
</cp:coreProperties>
</file>