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A036" w14:textId="77777777" w:rsidR="00674E87" w:rsidRPr="002C68A3" w:rsidRDefault="00674E87" w:rsidP="00674E8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8330E56" wp14:editId="39B9CC43">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3C9F236" w14:textId="77777777" w:rsidR="00674E87" w:rsidRDefault="00674E87" w:rsidP="00674E87">
      <w:pPr>
        <w:pStyle w:val="Title"/>
        <w:ind w:right="-360"/>
        <w:rPr>
          <w:rFonts w:ascii="Times New Roman" w:hAnsi="Times New Roman"/>
          <w:sz w:val="32"/>
          <w:szCs w:val="32"/>
        </w:rPr>
      </w:pPr>
    </w:p>
    <w:p w14:paraId="655DDD1A" w14:textId="77777777" w:rsidR="00674E87" w:rsidRDefault="00674E87" w:rsidP="00674E87">
      <w:pPr>
        <w:pStyle w:val="Title"/>
        <w:ind w:right="-360"/>
        <w:rPr>
          <w:rFonts w:ascii="Times New Roman" w:hAnsi="Times New Roman"/>
          <w:sz w:val="32"/>
          <w:szCs w:val="32"/>
        </w:rPr>
      </w:pPr>
    </w:p>
    <w:p w14:paraId="5CF82654" w14:textId="77777777" w:rsidR="00674E87" w:rsidRPr="00661028" w:rsidRDefault="00674E87" w:rsidP="00674E8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E35655" w14:textId="77777777" w:rsidR="00674E87" w:rsidRPr="002C68A3" w:rsidRDefault="00674E87" w:rsidP="00674E87">
      <w:pPr>
        <w:jc w:val="both"/>
        <w:rPr>
          <w:rFonts w:ascii="Arial" w:hAnsi="Arial" w:cs="Arial"/>
          <w:color w:val="3366FF"/>
          <w:lang w:val="ms-MY"/>
        </w:rPr>
      </w:pPr>
    </w:p>
    <w:p w14:paraId="4A73D159" w14:textId="77777777" w:rsidR="00674E87" w:rsidRPr="00552011" w:rsidRDefault="00674E87" w:rsidP="00674E8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w:t>
      </w:r>
      <w:r>
        <w:rPr>
          <w:rFonts w:ascii="Arial" w:hAnsi="Arial" w:cs="Arial"/>
          <w:color w:val="3366FF"/>
          <w:sz w:val="20"/>
          <w:szCs w:val="20"/>
          <w:u w:val="single"/>
        </w:rPr>
        <w:t>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A1ECD0" w14:textId="77777777" w:rsidR="008B596B" w:rsidRPr="000C664E" w:rsidRDefault="008B596B" w:rsidP="008B596B">
      <w:pPr>
        <w:spacing w:after="0" w:line="360" w:lineRule="auto"/>
        <w:jc w:val="center"/>
        <w:rPr>
          <w:rFonts w:ascii="Arial" w:hAnsi="Arial" w:cs="Arial"/>
          <w:b/>
          <w:color w:val="auto"/>
          <w:sz w:val="24"/>
          <w:szCs w:val="24"/>
          <w:lang w:val="mn-MN"/>
        </w:rPr>
      </w:pPr>
    </w:p>
    <w:p w14:paraId="48609B0E" w14:textId="77777777" w:rsidR="00D0499B" w:rsidRPr="00E850F3" w:rsidRDefault="00D0499B" w:rsidP="00D0499B">
      <w:pPr>
        <w:spacing w:after="0" w:line="240" w:lineRule="auto"/>
        <w:jc w:val="center"/>
        <w:rPr>
          <w:rFonts w:ascii="Arial" w:eastAsia="Times New Roman" w:hAnsi="Arial" w:cs="Arial"/>
          <w:b/>
          <w:bCs/>
          <w:sz w:val="24"/>
          <w:szCs w:val="24"/>
          <w:lang w:val="mn-MN"/>
        </w:rPr>
      </w:pPr>
      <w:r w:rsidRPr="00E850F3">
        <w:rPr>
          <w:rFonts w:ascii="Arial" w:eastAsia="Times New Roman" w:hAnsi="Arial" w:cs="Arial"/>
          <w:b/>
          <w:bCs/>
          <w:sz w:val="24"/>
          <w:szCs w:val="24"/>
          <w:lang w:val="mn-MN"/>
        </w:rPr>
        <w:t xml:space="preserve">     ТӨСВИЙН ТУХАЙ ХУУЛЬД</w:t>
      </w:r>
    </w:p>
    <w:p w14:paraId="3D294CB7" w14:textId="77777777" w:rsidR="00D0499B" w:rsidRPr="00E850F3" w:rsidRDefault="00D0499B" w:rsidP="00D0499B">
      <w:pPr>
        <w:spacing w:after="0" w:line="240" w:lineRule="auto"/>
        <w:jc w:val="center"/>
        <w:rPr>
          <w:rFonts w:ascii="Arial" w:eastAsia="Times New Roman" w:hAnsi="Arial" w:cs="Arial"/>
          <w:b/>
          <w:bCs/>
          <w:sz w:val="24"/>
          <w:szCs w:val="24"/>
          <w:lang w:val="mn-MN"/>
        </w:rPr>
      </w:pPr>
      <w:r w:rsidRPr="00E850F3">
        <w:rPr>
          <w:rFonts w:ascii="Arial" w:eastAsia="Times New Roman" w:hAnsi="Arial" w:cs="Arial"/>
          <w:b/>
          <w:bCs/>
          <w:sz w:val="24"/>
          <w:szCs w:val="24"/>
          <w:lang w:val="mn-MN"/>
        </w:rPr>
        <w:t xml:space="preserve">      ӨӨРЧЛӨЛТ ОРУУЛАХ ТУХАЙ</w:t>
      </w:r>
    </w:p>
    <w:p w14:paraId="7470E025" w14:textId="77777777" w:rsidR="00D0499B" w:rsidRPr="00E850F3" w:rsidRDefault="00D0499B" w:rsidP="00D0499B">
      <w:pPr>
        <w:spacing w:after="0" w:line="360" w:lineRule="auto"/>
        <w:jc w:val="both"/>
        <w:rPr>
          <w:rFonts w:ascii="Arial" w:hAnsi="Arial" w:cs="Arial"/>
          <w:sz w:val="24"/>
          <w:szCs w:val="24"/>
          <w:lang w:val="mn-MN"/>
        </w:rPr>
      </w:pPr>
    </w:p>
    <w:p w14:paraId="2953D937" w14:textId="77777777" w:rsidR="00D0499B" w:rsidRPr="00E850F3" w:rsidRDefault="00D0499B" w:rsidP="00D0499B">
      <w:pPr>
        <w:spacing w:after="0" w:line="240" w:lineRule="auto"/>
        <w:ind w:firstLine="720"/>
        <w:jc w:val="both"/>
        <w:rPr>
          <w:rFonts w:ascii="Arial" w:eastAsia="Calibri" w:hAnsi="Arial" w:cs="Arial"/>
          <w:sz w:val="24"/>
          <w:szCs w:val="24"/>
          <w:lang w:val="mn-MN"/>
        </w:rPr>
      </w:pPr>
      <w:r w:rsidRPr="00E850F3">
        <w:rPr>
          <w:rFonts w:ascii="Arial" w:eastAsia="Calibri" w:hAnsi="Arial" w:cs="Arial"/>
          <w:b/>
          <w:bCs/>
          <w:sz w:val="24"/>
          <w:szCs w:val="24"/>
          <w:lang w:val="mn-MN"/>
        </w:rPr>
        <w:t>1 дүгээр зүйл.</w:t>
      </w:r>
      <w:r w:rsidRPr="00E850F3">
        <w:rPr>
          <w:rFonts w:ascii="Arial" w:eastAsia="Calibri" w:hAnsi="Arial" w:cs="Arial"/>
          <w:sz w:val="24"/>
          <w:szCs w:val="24"/>
          <w:lang w:val="mn-MN"/>
        </w:rPr>
        <w:t>Төсвийн тухай хуулийн дараах зүйл, заалтыг доор дурдсанаар өөрчлөн найруулсугай:</w:t>
      </w:r>
    </w:p>
    <w:p w14:paraId="10C0CA81" w14:textId="77777777" w:rsidR="00D0499B" w:rsidRPr="00E850F3" w:rsidRDefault="00D0499B" w:rsidP="00D0499B">
      <w:pPr>
        <w:spacing w:after="0" w:line="240" w:lineRule="auto"/>
        <w:ind w:firstLine="720"/>
        <w:jc w:val="both"/>
        <w:rPr>
          <w:rFonts w:ascii="Arial" w:eastAsia="Calibri" w:hAnsi="Arial" w:cs="Arial"/>
          <w:sz w:val="24"/>
          <w:szCs w:val="24"/>
          <w:lang w:val="mn-MN"/>
        </w:rPr>
      </w:pPr>
    </w:p>
    <w:p w14:paraId="4F258131" w14:textId="77777777" w:rsidR="00D0499B" w:rsidRPr="00E850F3" w:rsidRDefault="00D0499B" w:rsidP="00D0499B">
      <w:pPr>
        <w:spacing w:after="0" w:line="240" w:lineRule="auto"/>
        <w:ind w:firstLine="720"/>
        <w:jc w:val="both"/>
        <w:rPr>
          <w:rFonts w:ascii="Arial" w:eastAsia="Calibri" w:hAnsi="Arial" w:cs="Arial"/>
          <w:b/>
          <w:sz w:val="24"/>
          <w:szCs w:val="24"/>
          <w:lang w:val="mn-MN"/>
        </w:rPr>
      </w:pPr>
      <w:r w:rsidRPr="00E850F3">
        <w:rPr>
          <w:rFonts w:ascii="Arial" w:eastAsia="Calibri" w:hAnsi="Arial" w:cs="Arial"/>
          <w:b/>
          <w:sz w:val="24"/>
          <w:szCs w:val="24"/>
          <w:lang w:val="mn-MN"/>
        </w:rPr>
        <w:tab/>
        <w:t>1/12 дугаар зүйлийн 12.1.22 дахь заалт:</w:t>
      </w:r>
    </w:p>
    <w:p w14:paraId="6CDA15D5" w14:textId="77777777" w:rsidR="00D0499B" w:rsidRPr="00E850F3" w:rsidRDefault="00D0499B" w:rsidP="00D0499B">
      <w:pPr>
        <w:spacing w:after="0" w:line="240" w:lineRule="auto"/>
        <w:jc w:val="both"/>
        <w:rPr>
          <w:rFonts w:ascii="Arial" w:eastAsia="Calibri" w:hAnsi="Arial" w:cs="Arial"/>
          <w:sz w:val="24"/>
          <w:szCs w:val="24"/>
          <w:lang w:val="mn-MN"/>
        </w:rPr>
      </w:pPr>
    </w:p>
    <w:p w14:paraId="05846ED7" w14:textId="77777777" w:rsidR="00D0499B" w:rsidRPr="00E850F3" w:rsidRDefault="00D0499B" w:rsidP="00D0499B">
      <w:pPr>
        <w:spacing w:after="0" w:line="240" w:lineRule="auto"/>
        <w:ind w:firstLine="720"/>
        <w:jc w:val="both"/>
        <w:rPr>
          <w:rFonts w:ascii="Arial" w:eastAsia="Calibri" w:hAnsi="Arial" w:cs="Arial"/>
          <w:sz w:val="24"/>
          <w:szCs w:val="24"/>
          <w:lang w:val="mn-MN"/>
        </w:rPr>
      </w:pPr>
      <w:r w:rsidRPr="00E850F3">
        <w:rPr>
          <w:rFonts w:ascii="Arial" w:eastAsia="Calibri" w:hAnsi="Arial" w:cs="Arial"/>
          <w:sz w:val="24"/>
          <w:szCs w:val="24"/>
          <w:lang w:val="mn-MN"/>
        </w:rPr>
        <w:tab/>
        <w:t xml:space="preserve">“12.1.22.Төр, хувийн хэвшлийн түншлэлийн тухай хуульд заасан холбогдох зөвшөөрлийг олгох.” </w:t>
      </w:r>
    </w:p>
    <w:p w14:paraId="449CD54B" w14:textId="77777777" w:rsidR="00D0499B" w:rsidRPr="00E850F3" w:rsidRDefault="00D0499B" w:rsidP="00D0499B">
      <w:pPr>
        <w:spacing w:after="0" w:line="240" w:lineRule="auto"/>
        <w:ind w:firstLine="720"/>
        <w:jc w:val="both"/>
        <w:rPr>
          <w:rFonts w:ascii="Arial" w:eastAsia="Calibri" w:hAnsi="Arial" w:cs="Arial"/>
          <w:sz w:val="24"/>
          <w:szCs w:val="24"/>
          <w:lang w:val="mn-MN"/>
        </w:rPr>
      </w:pPr>
    </w:p>
    <w:p w14:paraId="4FAF7802" w14:textId="77777777" w:rsidR="00D0499B" w:rsidRPr="00E850F3" w:rsidRDefault="00D0499B" w:rsidP="00D0499B">
      <w:pPr>
        <w:spacing w:after="0" w:line="240" w:lineRule="auto"/>
        <w:ind w:firstLine="720"/>
        <w:jc w:val="both"/>
        <w:rPr>
          <w:rFonts w:ascii="Arial" w:eastAsia="Calibri" w:hAnsi="Arial" w:cs="Arial"/>
          <w:b/>
          <w:sz w:val="24"/>
          <w:szCs w:val="24"/>
          <w:lang w:val="mn-MN"/>
        </w:rPr>
      </w:pPr>
      <w:r w:rsidRPr="00E850F3">
        <w:rPr>
          <w:rFonts w:ascii="Arial" w:eastAsia="Calibri" w:hAnsi="Arial" w:cs="Arial"/>
          <w:b/>
          <w:sz w:val="24"/>
          <w:szCs w:val="24"/>
          <w:lang w:val="mn-MN"/>
        </w:rPr>
        <w:tab/>
        <w:t>2/ 30 дугаар зүйл:</w:t>
      </w:r>
    </w:p>
    <w:p w14:paraId="199BD5CC" w14:textId="77777777" w:rsidR="00D0499B" w:rsidRPr="00E850F3" w:rsidRDefault="00D0499B" w:rsidP="00D0499B">
      <w:pPr>
        <w:spacing w:after="0" w:line="240" w:lineRule="auto"/>
        <w:ind w:firstLine="720"/>
        <w:jc w:val="both"/>
        <w:rPr>
          <w:rFonts w:ascii="Arial" w:eastAsia="Calibri" w:hAnsi="Arial" w:cs="Arial"/>
          <w:sz w:val="24"/>
          <w:szCs w:val="24"/>
          <w:lang w:val="mn-MN"/>
        </w:rPr>
      </w:pPr>
    </w:p>
    <w:p w14:paraId="0A65AA43" w14:textId="77777777" w:rsidR="00D0499B" w:rsidRPr="00E850F3" w:rsidRDefault="00D0499B" w:rsidP="00D0499B">
      <w:pPr>
        <w:spacing w:after="0" w:line="240" w:lineRule="auto"/>
        <w:ind w:firstLine="709"/>
        <w:rPr>
          <w:rFonts w:ascii="Arial" w:eastAsia="Times New Roman" w:hAnsi="Arial" w:cs="Arial"/>
          <w:b/>
          <w:bCs/>
          <w:sz w:val="24"/>
          <w:szCs w:val="24"/>
          <w:lang w:val="mn-MN"/>
        </w:rPr>
      </w:pPr>
      <w:r w:rsidRPr="00E850F3">
        <w:rPr>
          <w:rFonts w:ascii="Arial" w:eastAsia="Times New Roman" w:hAnsi="Arial" w:cs="Arial"/>
          <w:b/>
          <w:bCs/>
          <w:sz w:val="24"/>
          <w:szCs w:val="24"/>
          <w:lang w:val="mn-MN"/>
        </w:rPr>
        <w:tab/>
      </w:r>
      <w:r w:rsidRPr="00E850F3">
        <w:rPr>
          <w:rFonts w:ascii="Arial" w:eastAsia="Times New Roman" w:hAnsi="Arial" w:cs="Arial"/>
          <w:b/>
          <w:bCs/>
          <w:sz w:val="24"/>
          <w:szCs w:val="24"/>
          <w:lang w:val="mn-MN"/>
        </w:rPr>
        <w:tab/>
      </w:r>
      <w:r w:rsidRPr="00E850F3">
        <w:rPr>
          <w:rFonts w:ascii="Arial" w:eastAsia="Times New Roman" w:hAnsi="Arial" w:cs="Arial"/>
          <w:sz w:val="24"/>
          <w:szCs w:val="24"/>
          <w:lang w:val="mn-MN"/>
        </w:rPr>
        <w:t>“</w:t>
      </w:r>
      <w:r w:rsidRPr="00E850F3">
        <w:rPr>
          <w:rFonts w:ascii="Arial" w:eastAsia="Times New Roman" w:hAnsi="Arial" w:cs="Arial"/>
          <w:b/>
          <w:bCs/>
          <w:sz w:val="24"/>
          <w:szCs w:val="24"/>
          <w:lang w:val="mn-MN"/>
        </w:rPr>
        <w:t xml:space="preserve">30 дугаар зүйл.Төр, хувийн хэвшлийн түншлэл </w:t>
      </w:r>
    </w:p>
    <w:p w14:paraId="794173D3" w14:textId="77777777" w:rsidR="00D0499B" w:rsidRPr="00E850F3" w:rsidRDefault="00D0499B" w:rsidP="00D0499B">
      <w:pPr>
        <w:spacing w:after="0" w:line="240" w:lineRule="auto"/>
        <w:rPr>
          <w:rFonts w:ascii="Arial" w:eastAsia="Times New Roman" w:hAnsi="Arial" w:cs="Arial"/>
          <w:b/>
          <w:bCs/>
          <w:sz w:val="24"/>
          <w:szCs w:val="24"/>
          <w:lang w:val="mn-MN"/>
        </w:rPr>
      </w:pPr>
    </w:p>
    <w:p w14:paraId="5F055B4A" w14:textId="77777777" w:rsidR="00D0499B" w:rsidRPr="00E850F3" w:rsidRDefault="00D0499B" w:rsidP="00D0499B">
      <w:pPr>
        <w:spacing w:after="0" w:line="240" w:lineRule="auto"/>
        <w:ind w:firstLine="720"/>
        <w:jc w:val="both"/>
        <w:rPr>
          <w:rFonts w:ascii="Arial" w:eastAsia="SimSun" w:hAnsi="Arial" w:cs="Arial"/>
          <w:sz w:val="24"/>
          <w:szCs w:val="24"/>
          <w:lang w:val="mn-MN"/>
        </w:rPr>
      </w:pPr>
      <w:r w:rsidRPr="00E850F3">
        <w:rPr>
          <w:rFonts w:ascii="Arial" w:eastAsia="SimSun" w:hAnsi="Arial" w:cs="Arial"/>
          <w:sz w:val="24"/>
          <w:szCs w:val="24"/>
          <w:lang w:val="mn-MN"/>
        </w:rPr>
        <w:t>30.1.Төсвийн хөрөнгө оруулалт болон төсвийн эрсдэлийн оновчтой удирдлагыг хангах зорилгоор нийтийн зориулалттай дэд бүтэц, төрийн үйлчилгээний салбарт төр, хувийн хэвшлийн түншлэлийн төслийг төр, хувийн хэвшлийн түншлэлийн гэрээгээр хэрэгжүүлж болно.</w:t>
      </w:r>
    </w:p>
    <w:p w14:paraId="6B8C069D" w14:textId="77777777" w:rsidR="00D0499B" w:rsidRPr="00E850F3" w:rsidRDefault="00D0499B" w:rsidP="00D0499B">
      <w:pPr>
        <w:spacing w:after="0" w:line="240" w:lineRule="auto"/>
        <w:ind w:firstLine="720"/>
        <w:jc w:val="both"/>
        <w:rPr>
          <w:rFonts w:ascii="Arial" w:eastAsia="SimSun" w:hAnsi="Arial" w:cs="Arial"/>
          <w:sz w:val="24"/>
          <w:szCs w:val="24"/>
          <w:lang w:val="mn-MN"/>
        </w:rPr>
      </w:pPr>
    </w:p>
    <w:p w14:paraId="75E6A1FA" w14:textId="77777777" w:rsidR="00D0499B" w:rsidRPr="00E850F3" w:rsidRDefault="00D0499B" w:rsidP="00D0499B">
      <w:pPr>
        <w:spacing w:after="0" w:line="240" w:lineRule="auto"/>
        <w:ind w:firstLine="720"/>
        <w:jc w:val="both"/>
        <w:rPr>
          <w:rFonts w:ascii="Arial" w:eastAsia="SimSun" w:hAnsi="Arial" w:cs="Arial"/>
          <w:sz w:val="24"/>
          <w:szCs w:val="24"/>
          <w:lang w:val="mn-MN"/>
        </w:rPr>
      </w:pPr>
      <w:r w:rsidRPr="00E850F3">
        <w:rPr>
          <w:rFonts w:ascii="Arial" w:eastAsia="SimSun" w:hAnsi="Arial" w:cs="Arial"/>
          <w:sz w:val="24"/>
          <w:szCs w:val="24"/>
          <w:lang w:val="mn-MN"/>
        </w:rPr>
        <w:t>30.2.Төр, хувийн хэвшлийн түншлэлтэй холбогдсон харилцааг Төр, хувийн хэвшлийн түншлэлийн тухай хуулиар зохицуулна.</w:t>
      </w:r>
    </w:p>
    <w:p w14:paraId="2BE0F838" w14:textId="77777777" w:rsidR="00D0499B" w:rsidRPr="00E850F3" w:rsidRDefault="00D0499B" w:rsidP="00D0499B">
      <w:pPr>
        <w:spacing w:after="0" w:line="240" w:lineRule="auto"/>
        <w:ind w:firstLine="720"/>
        <w:jc w:val="both"/>
        <w:rPr>
          <w:rFonts w:ascii="Arial" w:eastAsia="SimSun" w:hAnsi="Arial" w:cs="Arial"/>
          <w:sz w:val="24"/>
          <w:szCs w:val="24"/>
          <w:lang w:val="mn-MN"/>
        </w:rPr>
      </w:pPr>
    </w:p>
    <w:p w14:paraId="709F54AE" w14:textId="77777777" w:rsidR="00D0499B" w:rsidRPr="00E850F3" w:rsidRDefault="00D0499B" w:rsidP="00D0499B">
      <w:pPr>
        <w:spacing w:after="0" w:line="240" w:lineRule="auto"/>
        <w:ind w:firstLine="720"/>
        <w:jc w:val="both"/>
        <w:rPr>
          <w:rFonts w:ascii="Arial" w:eastAsia="SimSun" w:hAnsi="Arial" w:cs="Arial"/>
          <w:sz w:val="24"/>
          <w:szCs w:val="24"/>
          <w:lang w:val="mn-MN"/>
        </w:rPr>
      </w:pPr>
      <w:r w:rsidRPr="00E850F3">
        <w:rPr>
          <w:rFonts w:ascii="Arial" w:eastAsia="SimSun" w:hAnsi="Arial" w:cs="Arial"/>
          <w:sz w:val="24"/>
          <w:szCs w:val="24"/>
          <w:lang w:val="mn-MN"/>
        </w:rPr>
        <w:t>30.3.Төр, хувийн хэвшлийн түншлэлийн гэрээний төсвөөс санхүүжүүлэх төлбөрийн үүрэг нь төсвийн бүрэлдэхүүн хэсэг байна.</w:t>
      </w:r>
    </w:p>
    <w:p w14:paraId="2B809D56" w14:textId="77777777" w:rsidR="00D0499B" w:rsidRPr="00E850F3" w:rsidRDefault="00D0499B" w:rsidP="00D0499B">
      <w:pPr>
        <w:spacing w:after="0" w:line="240" w:lineRule="auto"/>
        <w:ind w:firstLine="720"/>
        <w:jc w:val="both"/>
        <w:rPr>
          <w:rFonts w:ascii="Arial" w:eastAsia="SimSun" w:hAnsi="Arial" w:cs="Arial"/>
          <w:sz w:val="24"/>
          <w:szCs w:val="24"/>
          <w:lang w:val="mn-MN"/>
        </w:rPr>
      </w:pPr>
    </w:p>
    <w:p w14:paraId="0020A51E" w14:textId="77777777" w:rsidR="00D0499B" w:rsidRPr="00E850F3" w:rsidRDefault="00D0499B" w:rsidP="00D0499B">
      <w:pPr>
        <w:spacing w:after="0" w:line="240" w:lineRule="auto"/>
        <w:ind w:firstLine="720"/>
        <w:jc w:val="both"/>
        <w:rPr>
          <w:rFonts w:ascii="Arial" w:eastAsia="SimSun" w:hAnsi="Arial" w:cs="Arial"/>
          <w:sz w:val="24"/>
          <w:szCs w:val="24"/>
          <w:lang w:val="mn-MN"/>
        </w:rPr>
      </w:pPr>
      <w:r w:rsidRPr="00E850F3">
        <w:rPr>
          <w:rFonts w:ascii="Arial" w:eastAsia="SimSun" w:hAnsi="Arial" w:cs="Arial"/>
          <w:sz w:val="24"/>
          <w:szCs w:val="24"/>
          <w:lang w:val="mn-MN"/>
        </w:rPr>
        <w:t>30.4.Төр, хувийн хэвшлийн түншлэлийн гэрээгээр хэрэгжүүлэх төсөл, төлбөрийн үүрэг, болзошгүй өр төлбөр, эрсдэлийн тооцооллын тухай мэдээллийг Засгийн газрын санхүүгийн нэгтгэсэн тайланд тодруулга хэлбэрээр оруулж тайлагнана.</w:t>
      </w:r>
    </w:p>
    <w:p w14:paraId="7F6B1E33" w14:textId="77777777" w:rsidR="00D0499B" w:rsidRPr="00E850F3" w:rsidRDefault="00D0499B" w:rsidP="00D0499B">
      <w:pPr>
        <w:spacing w:after="0" w:line="240" w:lineRule="auto"/>
        <w:jc w:val="both"/>
        <w:rPr>
          <w:rFonts w:ascii="Arial" w:eastAsia="SimSun" w:hAnsi="Arial" w:cs="Arial"/>
          <w:sz w:val="24"/>
          <w:szCs w:val="24"/>
          <w:lang w:val="mn-MN"/>
        </w:rPr>
      </w:pPr>
    </w:p>
    <w:p w14:paraId="4B729479" w14:textId="77777777" w:rsidR="00D0499B" w:rsidRPr="00E850F3" w:rsidRDefault="00D0499B" w:rsidP="00D0499B">
      <w:pPr>
        <w:spacing w:after="0" w:line="240" w:lineRule="auto"/>
        <w:ind w:firstLine="720"/>
        <w:jc w:val="both"/>
        <w:rPr>
          <w:rFonts w:ascii="Arial" w:eastAsia="SimSun" w:hAnsi="Arial" w:cs="Arial"/>
          <w:sz w:val="24"/>
          <w:szCs w:val="24"/>
          <w:lang w:val="mn-MN"/>
        </w:rPr>
      </w:pPr>
      <w:r w:rsidRPr="00E850F3">
        <w:rPr>
          <w:rFonts w:ascii="Arial" w:eastAsia="SimSun" w:hAnsi="Arial" w:cs="Arial"/>
          <w:sz w:val="24"/>
          <w:szCs w:val="24"/>
          <w:lang w:val="mn-MN"/>
        </w:rPr>
        <w:t xml:space="preserve">30.5.Төр, хувийн хэвшлийн түншлэлийн тухай хууль болон энэ хуульд заасан шаардлагыг хангаагүй төслийг төр, хувийн хэвшлийн түншлэлээр хэрэгжүүлэх, төсвөөс санхүүжүүлэхийг хориглоно.” </w:t>
      </w:r>
    </w:p>
    <w:p w14:paraId="05B6B742" w14:textId="77777777" w:rsidR="00D0499B" w:rsidRPr="00E850F3" w:rsidRDefault="00D0499B" w:rsidP="00D0499B">
      <w:pPr>
        <w:spacing w:after="0" w:line="240" w:lineRule="auto"/>
        <w:jc w:val="both"/>
        <w:rPr>
          <w:rFonts w:ascii="Arial" w:eastAsia="SimSun" w:hAnsi="Arial" w:cs="Arial"/>
          <w:sz w:val="24"/>
          <w:szCs w:val="24"/>
          <w:lang w:val="mn-MN"/>
        </w:rPr>
      </w:pPr>
    </w:p>
    <w:p w14:paraId="4DA11586" w14:textId="77777777" w:rsidR="00D0499B" w:rsidRPr="00E850F3" w:rsidRDefault="00D0499B" w:rsidP="00D0499B">
      <w:pPr>
        <w:spacing w:after="0" w:line="240" w:lineRule="auto"/>
        <w:ind w:firstLine="709"/>
        <w:jc w:val="both"/>
        <w:rPr>
          <w:rFonts w:ascii="Arial" w:eastAsia="SimSun" w:hAnsi="Arial" w:cs="Arial"/>
          <w:b/>
          <w:sz w:val="24"/>
          <w:szCs w:val="24"/>
          <w:lang w:val="mn-MN"/>
        </w:rPr>
      </w:pPr>
      <w:r w:rsidRPr="00E850F3">
        <w:rPr>
          <w:rFonts w:ascii="Arial" w:eastAsia="SimSun" w:hAnsi="Arial" w:cs="Arial"/>
          <w:b/>
          <w:sz w:val="24"/>
          <w:szCs w:val="24"/>
          <w:lang w:val="mn-MN"/>
        </w:rPr>
        <w:tab/>
      </w:r>
      <w:r w:rsidRPr="00E850F3">
        <w:rPr>
          <w:rFonts w:ascii="Arial" w:eastAsia="SimSun" w:hAnsi="Arial" w:cs="Arial"/>
          <w:b/>
          <w:sz w:val="24"/>
          <w:szCs w:val="24"/>
          <w:lang w:val="mn-MN"/>
        </w:rPr>
        <w:tab/>
        <w:t>3/32 дугаар зүйлийн 32.2.21 дэх заалт:</w:t>
      </w:r>
    </w:p>
    <w:p w14:paraId="37C39883"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65BEA378" w14:textId="77777777" w:rsidR="00D0499B" w:rsidRPr="00E850F3" w:rsidRDefault="00D0499B" w:rsidP="00D0499B">
      <w:pPr>
        <w:spacing w:after="0" w:line="240" w:lineRule="auto"/>
        <w:ind w:firstLine="709"/>
        <w:jc w:val="both"/>
        <w:rPr>
          <w:rFonts w:ascii="Arial" w:eastAsia="SimSun" w:hAnsi="Arial" w:cs="Arial"/>
          <w:sz w:val="24"/>
          <w:szCs w:val="24"/>
          <w:lang w:val="mn-MN"/>
        </w:rPr>
      </w:pPr>
      <w:r w:rsidRPr="00E850F3">
        <w:rPr>
          <w:rFonts w:ascii="Arial" w:eastAsia="SimSun" w:hAnsi="Arial" w:cs="Arial"/>
          <w:sz w:val="24"/>
          <w:szCs w:val="24"/>
          <w:lang w:val="mn-MN"/>
        </w:rPr>
        <w:tab/>
      </w:r>
      <w:r w:rsidRPr="00E850F3">
        <w:rPr>
          <w:rFonts w:ascii="Arial" w:eastAsia="SimSun" w:hAnsi="Arial" w:cs="Arial"/>
          <w:sz w:val="24"/>
          <w:szCs w:val="24"/>
          <w:lang w:val="mn-MN"/>
        </w:rPr>
        <w:tab/>
        <w:t xml:space="preserve">“32.2.21.Төр, хувийн хэвшлийн түншлэлийн тухай хуулийн дагуу түншлэлээр хэрэгжүүлэхээр гэрээ байгуулсан төслүүдийн танилцуулга, мэдээлэл, хэрэгжилт, үр дүн, төсөвтэй уялдсан байдал болон төсвөөс санхүүжүүлэх төрлөөр гэрээ байгуулсан төслүүдийн төсвөөс төлөх төлбөрийн хуваарь, төсвийн төсөлд </w:t>
      </w:r>
      <w:r w:rsidRPr="00E850F3">
        <w:rPr>
          <w:rFonts w:ascii="Arial" w:eastAsia="SimSun" w:hAnsi="Arial" w:cs="Arial"/>
          <w:sz w:val="24"/>
          <w:szCs w:val="24"/>
          <w:lang w:val="mn-MN"/>
        </w:rPr>
        <w:lastRenderedPageBreak/>
        <w:t>тусгах саналыг түншлэлийн асуудал эрхэлсэн төрийн захиргааны төв байгууллагаас ирүүлснээр хянаж тусгасан мэдээлэл.”</w:t>
      </w:r>
    </w:p>
    <w:p w14:paraId="5D92102D"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47838988" w14:textId="77777777" w:rsidR="00D0499B" w:rsidRPr="00E850F3" w:rsidRDefault="00D0499B" w:rsidP="00D0499B">
      <w:pPr>
        <w:spacing w:after="0" w:line="240" w:lineRule="auto"/>
        <w:ind w:firstLine="709"/>
        <w:jc w:val="both"/>
        <w:rPr>
          <w:rFonts w:ascii="Arial" w:eastAsia="SimSun" w:hAnsi="Arial" w:cs="Arial"/>
          <w:b/>
          <w:sz w:val="24"/>
          <w:szCs w:val="24"/>
          <w:lang w:val="mn-MN"/>
        </w:rPr>
      </w:pPr>
      <w:r w:rsidRPr="00E850F3">
        <w:rPr>
          <w:rFonts w:ascii="Arial" w:eastAsia="SimSun" w:hAnsi="Arial" w:cs="Arial"/>
          <w:b/>
          <w:sz w:val="24"/>
          <w:szCs w:val="24"/>
          <w:lang w:val="mn-MN"/>
        </w:rPr>
        <w:tab/>
      </w:r>
      <w:r w:rsidRPr="00E850F3">
        <w:rPr>
          <w:rFonts w:ascii="Arial" w:eastAsia="SimSun" w:hAnsi="Arial" w:cs="Arial"/>
          <w:b/>
          <w:sz w:val="24"/>
          <w:szCs w:val="24"/>
          <w:lang w:val="mn-MN"/>
        </w:rPr>
        <w:tab/>
        <w:t>4/33 дугаар зүйлийн 33.2.9 дэх заалт:</w:t>
      </w:r>
    </w:p>
    <w:p w14:paraId="1C3FF190"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5C22DBE8" w14:textId="77777777" w:rsidR="00D0499B" w:rsidRPr="00E850F3" w:rsidRDefault="00D0499B" w:rsidP="00D0499B">
      <w:pPr>
        <w:spacing w:after="0" w:line="240" w:lineRule="auto"/>
        <w:ind w:firstLine="709"/>
        <w:jc w:val="both"/>
        <w:rPr>
          <w:rFonts w:ascii="Arial" w:eastAsia="SimSun" w:hAnsi="Arial" w:cs="Arial"/>
          <w:sz w:val="24"/>
          <w:szCs w:val="24"/>
          <w:lang w:val="mn-MN"/>
        </w:rPr>
      </w:pPr>
      <w:r w:rsidRPr="00E850F3">
        <w:rPr>
          <w:rFonts w:ascii="Arial" w:eastAsia="SimSun" w:hAnsi="Arial" w:cs="Arial"/>
          <w:sz w:val="24"/>
          <w:szCs w:val="24"/>
          <w:lang w:val="mn-MN"/>
        </w:rPr>
        <w:tab/>
      </w:r>
      <w:r w:rsidRPr="00E850F3">
        <w:rPr>
          <w:rFonts w:ascii="Arial" w:eastAsia="SimSun" w:hAnsi="Arial" w:cs="Arial"/>
          <w:sz w:val="24"/>
          <w:szCs w:val="24"/>
          <w:lang w:val="mn-MN"/>
        </w:rPr>
        <w:tab/>
        <w:t>“33.2.9.Энэ хуулийн</w:t>
      </w:r>
      <w:r w:rsidRPr="00E850F3">
        <w:rPr>
          <w:rFonts w:ascii="Arial" w:eastAsia="SimSun" w:hAnsi="Arial" w:cs="Arial"/>
          <w:i/>
          <w:iCs/>
          <w:sz w:val="24"/>
          <w:szCs w:val="24"/>
          <w:lang w:val="mn-MN"/>
        </w:rPr>
        <w:t xml:space="preserve"> </w:t>
      </w:r>
      <w:r w:rsidRPr="00E850F3">
        <w:rPr>
          <w:rFonts w:ascii="Arial" w:eastAsia="SimSun" w:hAnsi="Arial" w:cs="Arial"/>
          <w:sz w:val="24"/>
          <w:szCs w:val="24"/>
          <w:lang w:val="mn-MN"/>
        </w:rPr>
        <w:t xml:space="preserve">32.2.21-д заасан мэдээллийг хавсралтаар /төслийн нэр, байршил, хүчин чадал, хэрэгжүүлэх хугацаа, гэрээний төрөл, хэлбэр, хувийн хэвшлийн түншлэгч болон түншлэлийн гэрээний мэдээлэл, төсөвт өртөг, тухайн жилд төсвөөс төлөх төлбөр, болзошгүй өр төлбөрийн мэдээлэл, дүн, Төр, хувийн хэвшлийн </w:t>
      </w:r>
      <w:r w:rsidRPr="00E850F3">
        <w:rPr>
          <w:rFonts w:ascii="Arial" w:eastAsia="SimSun" w:hAnsi="Arial" w:cs="Arial"/>
          <w:bCs/>
          <w:iCs/>
          <w:sz w:val="24"/>
          <w:szCs w:val="24"/>
          <w:lang w:val="mn-MN"/>
        </w:rPr>
        <w:t>түншлэлийн</w:t>
      </w:r>
      <w:r w:rsidRPr="00E850F3">
        <w:rPr>
          <w:rFonts w:ascii="Arial" w:eastAsia="SimSun" w:hAnsi="Arial" w:cs="Arial"/>
          <w:sz w:val="24"/>
          <w:szCs w:val="24"/>
          <w:lang w:val="mn-MN"/>
        </w:rPr>
        <w:t xml:space="preserve"> тухай хуульд заасан Засгийн газрын баталгаа, төрөөс үзүүлэх дэмжлэгийн талаарх мэдээлэл/.”</w:t>
      </w:r>
    </w:p>
    <w:p w14:paraId="405B2EC5"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051E0D18" w14:textId="77777777" w:rsidR="00D0499B" w:rsidRPr="00E850F3" w:rsidRDefault="00D0499B" w:rsidP="00D0499B">
      <w:pPr>
        <w:spacing w:after="0" w:line="240" w:lineRule="auto"/>
        <w:ind w:firstLine="709"/>
        <w:jc w:val="both"/>
        <w:rPr>
          <w:rFonts w:ascii="Arial" w:eastAsia="SimSun" w:hAnsi="Arial" w:cs="Arial"/>
          <w:sz w:val="24"/>
          <w:szCs w:val="24"/>
          <w:lang w:val="mn-MN"/>
        </w:rPr>
      </w:pPr>
      <w:r w:rsidRPr="00E850F3">
        <w:rPr>
          <w:rFonts w:ascii="Arial" w:eastAsia="SimSun" w:hAnsi="Arial" w:cs="Arial"/>
          <w:b/>
          <w:bCs/>
          <w:sz w:val="24"/>
          <w:szCs w:val="24"/>
          <w:lang w:val="mn-MN"/>
        </w:rPr>
        <w:t>2 дугаар зүйл.</w:t>
      </w:r>
      <w:r w:rsidRPr="00E850F3">
        <w:rPr>
          <w:rFonts w:ascii="Arial" w:eastAsia="SimSun" w:hAnsi="Arial" w:cs="Arial"/>
          <w:sz w:val="24"/>
          <w:szCs w:val="24"/>
          <w:lang w:val="mn-MN"/>
        </w:rPr>
        <w:t>Төсвийн тухай хуулийн 4 дүгээр зүйлийн 4.1.48 дэх заалтын “арга хэмжээтэй” гэснийг “арга хэмжээ болон төр, хувийн хэвшлийн түншлэлтэй” гэж, 28 дугаар зүйлийн 28.10 дахь хэсгийн “концессын” гэснийг “төр, хувийн хэвшлийн түншлэлийн” гэж, 52 дугаар</w:t>
      </w:r>
      <w:r w:rsidRPr="00E850F3">
        <w:rPr>
          <w:rFonts w:ascii="Arial" w:eastAsia="SimSun" w:hAnsi="Arial" w:cs="Arial"/>
          <w:b/>
          <w:bCs/>
          <w:i/>
          <w:iCs/>
          <w:sz w:val="24"/>
          <w:szCs w:val="24"/>
          <w:lang w:val="mn-MN"/>
        </w:rPr>
        <w:t xml:space="preserve"> </w:t>
      </w:r>
      <w:r w:rsidRPr="00E850F3">
        <w:rPr>
          <w:rFonts w:ascii="Arial" w:eastAsia="SimSun" w:hAnsi="Arial" w:cs="Arial"/>
          <w:sz w:val="24"/>
          <w:szCs w:val="24"/>
          <w:lang w:val="mn-MN"/>
        </w:rPr>
        <w:t>зүйлийн</w:t>
      </w:r>
      <w:r w:rsidRPr="00E850F3">
        <w:rPr>
          <w:rFonts w:ascii="Arial" w:eastAsia="SimSun" w:hAnsi="Arial" w:cs="Arial"/>
          <w:b/>
          <w:bCs/>
          <w:i/>
          <w:iCs/>
          <w:sz w:val="24"/>
          <w:szCs w:val="24"/>
          <w:lang w:val="mn-MN"/>
        </w:rPr>
        <w:t xml:space="preserve"> </w:t>
      </w:r>
      <w:r w:rsidRPr="00E850F3">
        <w:rPr>
          <w:rFonts w:ascii="Arial" w:eastAsia="SimSun" w:hAnsi="Arial" w:cs="Arial"/>
          <w:sz w:val="24"/>
          <w:szCs w:val="24"/>
          <w:lang w:val="mn-MN"/>
        </w:rPr>
        <w:t xml:space="preserve">52.6.3 дахь заалтын “Концессын” гэснийг “Төр, хувийн хэвшлийн түншлэлийн” гэж тус тус өөрчилсүгэй. </w:t>
      </w:r>
    </w:p>
    <w:p w14:paraId="6CE8F6CE" w14:textId="77777777" w:rsidR="00D0499B" w:rsidRPr="00E850F3" w:rsidRDefault="00D0499B" w:rsidP="00D0499B">
      <w:pPr>
        <w:spacing w:after="0" w:line="240" w:lineRule="auto"/>
        <w:ind w:firstLine="709"/>
        <w:jc w:val="both"/>
        <w:rPr>
          <w:rFonts w:ascii="Arial" w:eastAsia="SimSun" w:hAnsi="Arial" w:cs="Arial"/>
          <w:color w:val="FF0000"/>
          <w:sz w:val="24"/>
          <w:szCs w:val="24"/>
          <w:lang w:val="mn-MN"/>
        </w:rPr>
      </w:pPr>
    </w:p>
    <w:p w14:paraId="405139AB" w14:textId="77777777" w:rsidR="00D0499B" w:rsidRPr="00E850F3" w:rsidRDefault="00D0499B" w:rsidP="00D0499B">
      <w:pPr>
        <w:spacing w:after="0" w:line="240" w:lineRule="auto"/>
        <w:ind w:firstLine="709"/>
        <w:jc w:val="both"/>
        <w:rPr>
          <w:rFonts w:ascii="Arial" w:eastAsia="SimSun" w:hAnsi="Arial" w:cs="Arial"/>
          <w:sz w:val="24"/>
          <w:szCs w:val="24"/>
          <w:lang w:val="mn-MN"/>
        </w:rPr>
      </w:pPr>
      <w:r w:rsidRPr="00E850F3">
        <w:rPr>
          <w:rFonts w:ascii="Arial" w:eastAsia="SimSun" w:hAnsi="Arial" w:cs="Arial"/>
          <w:b/>
          <w:bCs/>
          <w:sz w:val="24"/>
          <w:szCs w:val="24"/>
          <w:lang w:val="mn-MN"/>
        </w:rPr>
        <w:t>3 дугаар зүйл.</w:t>
      </w:r>
      <w:r w:rsidRPr="00E850F3">
        <w:rPr>
          <w:rFonts w:ascii="Arial" w:eastAsia="SimSun" w:hAnsi="Arial" w:cs="Arial"/>
          <w:sz w:val="24"/>
          <w:szCs w:val="24"/>
          <w:lang w:val="mn-MN"/>
        </w:rPr>
        <w:t xml:space="preserve">Энэ хуулийг Төр, хувийн хэвшлийн түншлэлийн тухай хууль хүчин төгөлдөр болсон өдрөөс эхлэн дагаж мөрдөнө. </w:t>
      </w:r>
    </w:p>
    <w:p w14:paraId="071E2047"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29C8FE63" w14:textId="77777777" w:rsidR="00D0499B" w:rsidRPr="00E850F3" w:rsidRDefault="00D0499B" w:rsidP="00D0499B">
      <w:pPr>
        <w:spacing w:after="0" w:line="240" w:lineRule="auto"/>
        <w:ind w:firstLine="709"/>
        <w:jc w:val="both"/>
        <w:rPr>
          <w:rFonts w:ascii="Arial" w:eastAsia="SimSun" w:hAnsi="Arial" w:cs="Arial"/>
          <w:sz w:val="24"/>
          <w:szCs w:val="24"/>
          <w:lang w:val="mn-MN"/>
        </w:rPr>
      </w:pPr>
    </w:p>
    <w:p w14:paraId="1ED3F774" w14:textId="77777777" w:rsidR="00D0499B" w:rsidRPr="00E850F3" w:rsidRDefault="00D0499B" w:rsidP="00D0499B">
      <w:pPr>
        <w:spacing w:after="0" w:line="240" w:lineRule="auto"/>
        <w:ind w:firstLine="709"/>
        <w:jc w:val="both"/>
        <w:rPr>
          <w:rFonts w:ascii="Arial" w:hAnsi="Arial" w:cs="Arial"/>
          <w:lang w:val="mn-MN"/>
        </w:rPr>
      </w:pPr>
    </w:p>
    <w:p w14:paraId="44C8EEAA" w14:textId="77777777" w:rsidR="00D0499B" w:rsidRPr="00E850F3" w:rsidRDefault="00D0499B" w:rsidP="00D0499B">
      <w:pPr>
        <w:spacing w:after="0" w:line="240" w:lineRule="auto"/>
        <w:ind w:left="720" w:firstLine="720"/>
        <w:jc w:val="both"/>
        <w:rPr>
          <w:rFonts w:ascii="Arial" w:hAnsi="Arial" w:cs="Arial"/>
          <w:color w:val="000000"/>
          <w:lang w:val="mn-MN" w:eastAsia="en-029"/>
        </w:rPr>
      </w:pPr>
    </w:p>
    <w:p w14:paraId="6B78BB35" w14:textId="77777777" w:rsidR="00D0499B" w:rsidRPr="00E850F3" w:rsidRDefault="00D0499B" w:rsidP="00D0499B">
      <w:pPr>
        <w:spacing w:after="0" w:line="240" w:lineRule="auto"/>
        <w:ind w:left="720" w:firstLine="720"/>
        <w:jc w:val="both"/>
        <w:rPr>
          <w:rFonts w:ascii="Arial" w:hAnsi="Arial" w:cs="Arial"/>
          <w:color w:val="000000"/>
          <w:lang w:val="mn-MN" w:eastAsia="en-029"/>
        </w:rPr>
      </w:pPr>
      <w:r w:rsidRPr="00E850F3">
        <w:rPr>
          <w:rFonts w:ascii="Arial" w:hAnsi="Arial" w:cs="Arial"/>
          <w:color w:val="000000"/>
          <w:lang w:val="mn-MN" w:eastAsia="en-029"/>
        </w:rPr>
        <w:t>МОНГОЛ УЛСЫН</w:t>
      </w:r>
    </w:p>
    <w:p w14:paraId="39D6B9A4" w14:textId="3298C08B" w:rsidR="00E35E66" w:rsidRPr="00090986" w:rsidRDefault="00D0499B" w:rsidP="00D0499B">
      <w:pPr>
        <w:spacing w:after="0" w:line="240" w:lineRule="auto"/>
        <w:ind w:left="720" w:firstLine="720"/>
        <w:jc w:val="both"/>
        <w:rPr>
          <w:rFonts w:ascii="Arial" w:hAnsi="Arial" w:cs="Arial"/>
          <w:color w:val="000000"/>
          <w:lang w:val="mn-MN" w:eastAsia="en-029"/>
        </w:rPr>
      </w:pPr>
      <w:r w:rsidRPr="00E850F3">
        <w:rPr>
          <w:rFonts w:ascii="Arial" w:hAnsi="Arial" w:cs="Arial"/>
          <w:color w:val="000000"/>
          <w:lang w:val="mn-MN" w:eastAsia="en-029"/>
        </w:rPr>
        <w:t xml:space="preserve">ИХ ХУРЛЫН ДАРГА </w:t>
      </w:r>
      <w:r w:rsidRPr="00E850F3">
        <w:rPr>
          <w:rFonts w:ascii="Arial" w:hAnsi="Arial" w:cs="Arial"/>
          <w:color w:val="000000"/>
          <w:lang w:val="mn-MN" w:eastAsia="en-029"/>
        </w:rPr>
        <w:tab/>
      </w:r>
      <w:r w:rsidRPr="00E850F3">
        <w:rPr>
          <w:rFonts w:ascii="Arial" w:hAnsi="Arial" w:cs="Arial"/>
          <w:color w:val="000000"/>
          <w:lang w:val="mn-MN" w:eastAsia="en-029"/>
        </w:rPr>
        <w:tab/>
      </w:r>
      <w:r w:rsidRPr="00E850F3">
        <w:rPr>
          <w:rFonts w:ascii="Arial" w:hAnsi="Arial" w:cs="Arial"/>
          <w:color w:val="000000"/>
          <w:lang w:val="mn-MN" w:eastAsia="en-029"/>
        </w:rPr>
        <w:tab/>
      </w:r>
      <w:r w:rsidRPr="00E850F3">
        <w:rPr>
          <w:rFonts w:ascii="Arial" w:hAnsi="Arial" w:cs="Arial"/>
          <w:color w:val="000000"/>
          <w:lang w:val="mn-MN" w:eastAsia="en-029"/>
        </w:rPr>
        <w:tab/>
      </w:r>
      <w:r w:rsidRPr="00E850F3">
        <w:rPr>
          <w:rFonts w:ascii="Arial" w:hAnsi="Arial" w:cs="Arial"/>
          <w:color w:val="000000"/>
          <w:lang w:val="mn-MN" w:eastAsia="en-029"/>
        </w:rPr>
        <w:tab/>
        <w:t>Г.ЗАНДАНШАТАР</w:t>
      </w:r>
    </w:p>
    <w:sectPr w:rsidR="00E35E66" w:rsidRPr="00090986" w:rsidSect="00F20C1E">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B62F" w14:textId="77777777" w:rsidR="003F4A48" w:rsidRDefault="003F4A48" w:rsidP="00FE6C11">
      <w:pPr>
        <w:spacing w:after="0" w:line="240" w:lineRule="auto"/>
      </w:pPr>
      <w:r>
        <w:separator/>
      </w:r>
    </w:p>
  </w:endnote>
  <w:endnote w:type="continuationSeparator" w:id="0">
    <w:p w14:paraId="02F0B380" w14:textId="77777777" w:rsidR="003F4A48" w:rsidRDefault="003F4A48" w:rsidP="00FE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roid Sans Fallback">
    <w:altName w:val="Yu Gothic"/>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6728"/>
      <w:docPartObj>
        <w:docPartGallery w:val="Page Numbers (Bottom of Page)"/>
        <w:docPartUnique/>
      </w:docPartObj>
    </w:sdtPr>
    <w:sdtEndPr>
      <w:rPr>
        <w:rFonts w:ascii="Arial" w:hAnsi="Arial" w:cs="Arial"/>
        <w:noProof/>
        <w:sz w:val="20"/>
        <w:szCs w:val="20"/>
      </w:rPr>
    </w:sdtEndPr>
    <w:sdtContent>
      <w:p w14:paraId="2E7CCB92" w14:textId="3206A3A8" w:rsidR="00FE6C11" w:rsidRPr="00FE6C11" w:rsidRDefault="00FE6C11">
        <w:pPr>
          <w:pStyle w:val="Footer"/>
          <w:jc w:val="center"/>
          <w:rPr>
            <w:rFonts w:ascii="Arial" w:hAnsi="Arial" w:cs="Arial"/>
            <w:sz w:val="20"/>
            <w:szCs w:val="20"/>
          </w:rPr>
        </w:pPr>
        <w:r w:rsidRPr="00FE6C11">
          <w:rPr>
            <w:rFonts w:ascii="Arial" w:hAnsi="Arial" w:cs="Arial"/>
            <w:sz w:val="20"/>
            <w:szCs w:val="20"/>
          </w:rPr>
          <w:fldChar w:fldCharType="begin"/>
        </w:r>
        <w:r w:rsidRPr="00FE6C11">
          <w:rPr>
            <w:rFonts w:ascii="Arial" w:hAnsi="Arial" w:cs="Arial"/>
            <w:sz w:val="20"/>
            <w:szCs w:val="20"/>
          </w:rPr>
          <w:instrText xml:space="preserve"> PAGE   \* MERGEFORMAT </w:instrText>
        </w:r>
        <w:r w:rsidRPr="00FE6C11">
          <w:rPr>
            <w:rFonts w:ascii="Arial" w:hAnsi="Arial" w:cs="Arial"/>
            <w:sz w:val="20"/>
            <w:szCs w:val="20"/>
          </w:rPr>
          <w:fldChar w:fldCharType="separate"/>
        </w:r>
        <w:r w:rsidRPr="00FE6C11">
          <w:rPr>
            <w:rFonts w:ascii="Arial" w:hAnsi="Arial" w:cs="Arial"/>
            <w:noProof/>
            <w:sz w:val="20"/>
            <w:szCs w:val="20"/>
          </w:rPr>
          <w:t>2</w:t>
        </w:r>
        <w:r w:rsidRPr="00FE6C11">
          <w:rPr>
            <w:rFonts w:ascii="Arial" w:hAnsi="Arial" w:cs="Arial"/>
            <w:noProof/>
            <w:sz w:val="20"/>
            <w:szCs w:val="20"/>
          </w:rPr>
          <w:fldChar w:fldCharType="end"/>
        </w:r>
      </w:p>
    </w:sdtContent>
  </w:sdt>
  <w:p w14:paraId="0659840B" w14:textId="77777777" w:rsidR="00FE6C11" w:rsidRDefault="00FE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0E8B" w14:textId="77777777" w:rsidR="003F4A48" w:rsidRDefault="003F4A48" w:rsidP="00FE6C11">
      <w:pPr>
        <w:spacing w:after="0" w:line="240" w:lineRule="auto"/>
      </w:pPr>
      <w:r>
        <w:separator/>
      </w:r>
    </w:p>
  </w:footnote>
  <w:footnote w:type="continuationSeparator" w:id="0">
    <w:p w14:paraId="27F33CB9" w14:textId="77777777" w:rsidR="003F4A48" w:rsidRDefault="003F4A48" w:rsidP="00FE6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E1"/>
    <w:rsid w:val="00044CFD"/>
    <w:rsid w:val="000652F0"/>
    <w:rsid w:val="00090986"/>
    <w:rsid w:val="000C664E"/>
    <w:rsid w:val="000D1930"/>
    <w:rsid w:val="000D6DB1"/>
    <w:rsid w:val="00152421"/>
    <w:rsid w:val="0026117C"/>
    <w:rsid w:val="002C3900"/>
    <w:rsid w:val="003059E4"/>
    <w:rsid w:val="003431DA"/>
    <w:rsid w:val="003B5D55"/>
    <w:rsid w:val="003F243C"/>
    <w:rsid w:val="003F4A48"/>
    <w:rsid w:val="0051050A"/>
    <w:rsid w:val="0051111B"/>
    <w:rsid w:val="00573D6D"/>
    <w:rsid w:val="0062216E"/>
    <w:rsid w:val="00643661"/>
    <w:rsid w:val="00674E87"/>
    <w:rsid w:val="00696823"/>
    <w:rsid w:val="006A10DE"/>
    <w:rsid w:val="006C7DA8"/>
    <w:rsid w:val="006D2DEC"/>
    <w:rsid w:val="006E1CFF"/>
    <w:rsid w:val="007271D3"/>
    <w:rsid w:val="00790418"/>
    <w:rsid w:val="007F046D"/>
    <w:rsid w:val="00843827"/>
    <w:rsid w:val="008B596B"/>
    <w:rsid w:val="00960189"/>
    <w:rsid w:val="009C6088"/>
    <w:rsid w:val="00A26914"/>
    <w:rsid w:val="00AC5A05"/>
    <w:rsid w:val="00AF21DD"/>
    <w:rsid w:val="00B3066E"/>
    <w:rsid w:val="00BA368C"/>
    <w:rsid w:val="00C32701"/>
    <w:rsid w:val="00C72507"/>
    <w:rsid w:val="00CC06E7"/>
    <w:rsid w:val="00D034C7"/>
    <w:rsid w:val="00D0499B"/>
    <w:rsid w:val="00D45792"/>
    <w:rsid w:val="00DE6333"/>
    <w:rsid w:val="00E35E66"/>
    <w:rsid w:val="00E565CD"/>
    <w:rsid w:val="00EB7EE9"/>
    <w:rsid w:val="00EF64C4"/>
    <w:rsid w:val="00F134AE"/>
    <w:rsid w:val="00F20C1E"/>
    <w:rsid w:val="00F40E91"/>
    <w:rsid w:val="00F63007"/>
    <w:rsid w:val="00F95BF1"/>
    <w:rsid w:val="00FB22E1"/>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7F9B"/>
  <w15:chartTrackingRefBased/>
  <w15:docId w15:val="{B9E2146B-64D6-F946-A37A-6FFF704E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2E1"/>
    <w:pPr>
      <w:tabs>
        <w:tab w:val="left" w:pos="720"/>
      </w:tabs>
      <w:suppressAutoHyphens/>
      <w:spacing w:after="200" w:line="276" w:lineRule="auto"/>
    </w:pPr>
    <w:rPr>
      <w:rFonts w:ascii="Calibri" w:eastAsia="Droid Sans Fallback" w:hAnsi="Calibri" w:cs="Calibr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B22E1"/>
  </w:style>
  <w:style w:type="paragraph" w:styleId="Header">
    <w:name w:val="header"/>
    <w:basedOn w:val="Normal"/>
    <w:link w:val="HeaderChar"/>
    <w:uiPriority w:val="99"/>
    <w:unhideWhenUsed/>
    <w:rsid w:val="00FE6C11"/>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FE6C11"/>
    <w:rPr>
      <w:rFonts w:ascii="Calibri" w:eastAsia="Droid Sans Fallback" w:hAnsi="Calibri" w:cs="Calibri"/>
      <w:color w:val="00000A"/>
      <w:sz w:val="22"/>
      <w:szCs w:val="22"/>
    </w:rPr>
  </w:style>
  <w:style w:type="paragraph" w:styleId="Footer">
    <w:name w:val="footer"/>
    <w:basedOn w:val="Normal"/>
    <w:link w:val="FooterChar"/>
    <w:uiPriority w:val="99"/>
    <w:unhideWhenUsed/>
    <w:rsid w:val="00FE6C11"/>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FE6C11"/>
    <w:rPr>
      <w:rFonts w:ascii="Calibri" w:eastAsia="Droid Sans Fallback" w:hAnsi="Calibri" w:cs="Calibri"/>
      <w:color w:val="00000A"/>
      <w:sz w:val="22"/>
      <w:szCs w:val="22"/>
    </w:rPr>
  </w:style>
  <w:style w:type="paragraph" w:styleId="BalloonText">
    <w:name w:val="Balloon Text"/>
    <w:basedOn w:val="Normal"/>
    <w:link w:val="BalloonTextChar"/>
    <w:uiPriority w:val="99"/>
    <w:semiHidden/>
    <w:unhideWhenUsed/>
    <w:rsid w:val="003B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55"/>
    <w:rPr>
      <w:rFonts w:ascii="Segoe UI" w:eastAsia="Droid Sans Fallback" w:hAnsi="Segoe UI" w:cs="Segoe UI"/>
      <w:color w:val="00000A"/>
      <w:sz w:val="18"/>
      <w:szCs w:val="18"/>
    </w:rPr>
  </w:style>
  <w:style w:type="paragraph" w:styleId="Title">
    <w:name w:val="Title"/>
    <w:basedOn w:val="Normal"/>
    <w:link w:val="TitleChar"/>
    <w:qFormat/>
    <w:rsid w:val="00674E87"/>
    <w:pPr>
      <w:tabs>
        <w:tab w:val="clear" w:pos="720"/>
      </w:tabs>
      <w:suppressAutoHyphens w:val="0"/>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74E87"/>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7271D3"/>
    <w:pPr>
      <w:tabs>
        <w:tab w:val="clear" w:pos="720"/>
      </w:tabs>
      <w:suppressAutoHyphens w:val="0"/>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5711-9262-4CD8-B039-47ACEFAB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2022-12-20T07:42:00Z</cp:lastPrinted>
  <dcterms:created xsi:type="dcterms:W3CDTF">2023-01-21T08:00:00Z</dcterms:created>
  <dcterms:modified xsi:type="dcterms:W3CDTF">2023-01-21T08:00:00Z</dcterms:modified>
</cp:coreProperties>
</file>