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48457" w14:textId="77777777" w:rsidR="00600340" w:rsidRDefault="00600340" w:rsidP="00600340">
      <w:pPr>
        <w:tabs>
          <w:tab w:val="right" w:pos="3575"/>
        </w:tabs>
      </w:pPr>
    </w:p>
    <w:p w14:paraId="6F649ABE" w14:textId="5F65E6CF" w:rsidR="00600340" w:rsidRPr="00600340" w:rsidRDefault="00600340" w:rsidP="00600340">
      <w:pPr>
        <w:tabs>
          <w:tab w:val="right" w:pos="3575"/>
        </w:tabs>
        <w:rPr>
          <w:rFonts w:ascii="Arial" w:hAnsi="Arial" w:cs="Arial"/>
          <w:b/>
          <w:bCs/>
          <w:color w:val="3366FF"/>
          <w:sz w:val="40"/>
          <w:szCs w:val="40"/>
          <w:lang w:val="ms-MY"/>
        </w:rPr>
      </w:pPr>
      <w:bookmarkStart w:id="0" w:name="_GoBack"/>
      <w:bookmarkEnd w:id="0"/>
      <w:r w:rsidRPr="00600340">
        <w:rPr>
          <w:rFonts w:ascii="Arial" w:hAnsi="Arial" w:cs="Arial"/>
          <w:b/>
          <w:bCs/>
          <w:noProof/>
          <w:color w:val="3366FF"/>
          <w:sz w:val="44"/>
        </w:rPr>
        <w:drawing>
          <wp:anchor distT="0" distB="0" distL="114300" distR="114300" simplePos="0" relativeHeight="251659264" behindDoc="0" locked="0" layoutInCell="1" allowOverlap="1" wp14:anchorId="5AE3C760" wp14:editId="0E0C1DA0">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91684F" w14:textId="17437FC9" w:rsidR="00600340" w:rsidRDefault="00600340" w:rsidP="00600340">
      <w:pPr>
        <w:ind w:left="-142" w:right="-360"/>
        <w:jc w:val="center"/>
        <w:rPr>
          <w:rFonts w:ascii="Arial" w:hAnsi="Arial" w:cs="Arial"/>
          <w:b/>
          <w:bCs/>
          <w:color w:val="3366FF"/>
          <w:sz w:val="40"/>
          <w:szCs w:val="40"/>
          <w:lang w:val="ms-MY"/>
        </w:rPr>
      </w:pPr>
    </w:p>
    <w:p w14:paraId="138A1006" w14:textId="77777777" w:rsidR="00600340" w:rsidRPr="00600340" w:rsidRDefault="00600340" w:rsidP="00600340">
      <w:pPr>
        <w:ind w:left="-142" w:right="-360"/>
        <w:jc w:val="center"/>
        <w:rPr>
          <w:rFonts w:ascii="Arial" w:hAnsi="Arial" w:cs="Arial"/>
          <w:b/>
          <w:bCs/>
          <w:color w:val="3366FF"/>
          <w:sz w:val="40"/>
          <w:szCs w:val="40"/>
          <w:lang w:val="ms-MY"/>
        </w:rPr>
      </w:pPr>
    </w:p>
    <w:p w14:paraId="425B46C9" w14:textId="77777777" w:rsidR="00600340" w:rsidRPr="00600340" w:rsidRDefault="00600340" w:rsidP="00600340">
      <w:pPr>
        <w:ind w:left="-142"/>
        <w:jc w:val="center"/>
        <w:rPr>
          <w:rFonts w:ascii="Arial" w:hAnsi="Arial" w:cs="Arial"/>
          <w:b/>
          <w:bCs/>
          <w:color w:val="3366FF"/>
          <w:sz w:val="32"/>
          <w:szCs w:val="32"/>
          <w:lang w:val="ms-MY"/>
        </w:rPr>
      </w:pPr>
    </w:p>
    <w:p w14:paraId="42B76DAE" w14:textId="77777777" w:rsidR="00600340" w:rsidRPr="00600340" w:rsidRDefault="00600340" w:rsidP="00600340">
      <w:pPr>
        <w:ind w:left="-142"/>
        <w:jc w:val="center"/>
        <w:rPr>
          <w:rFonts w:ascii="Times New Roman" w:hAnsi="Times New Roman"/>
          <w:b/>
          <w:bCs/>
          <w:color w:val="3366FF"/>
          <w:sz w:val="32"/>
          <w:szCs w:val="32"/>
          <w:lang w:val="ms-MY"/>
        </w:rPr>
      </w:pPr>
      <w:r w:rsidRPr="00600340">
        <w:rPr>
          <w:rFonts w:ascii="Times New Roman" w:hAnsi="Times New Roman"/>
          <w:b/>
          <w:bCs/>
          <w:color w:val="3366FF"/>
          <w:sz w:val="32"/>
          <w:szCs w:val="32"/>
          <w:lang w:val="ms-MY"/>
        </w:rPr>
        <w:t>МОНГОЛ УЛСЫН ИХ ХУРЛЫН</w:t>
      </w:r>
    </w:p>
    <w:p w14:paraId="11F7774B" w14:textId="77777777" w:rsidR="00600340" w:rsidRPr="00600340" w:rsidRDefault="00600340" w:rsidP="00600340">
      <w:pPr>
        <w:keepNext/>
        <w:jc w:val="center"/>
        <w:outlineLvl w:val="0"/>
        <w:rPr>
          <w:rFonts w:ascii="Arial" w:eastAsia="Arial Unicode MS" w:hAnsi="Arial" w:cs="Arial"/>
          <w:b/>
          <w:bCs/>
          <w:color w:val="3366FF"/>
          <w:sz w:val="44"/>
          <w:szCs w:val="44"/>
          <w:lang w:val="ms-MY"/>
        </w:rPr>
      </w:pPr>
      <w:bookmarkStart w:id="1" w:name="_h06h22z21kh1"/>
      <w:bookmarkEnd w:id="1"/>
      <w:r w:rsidRPr="00600340">
        <w:rPr>
          <w:rFonts w:ascii="Times New Roman" w:eastAsia="Arial Unicode MS" w:hAnsi="Times New Roman"/>
          <w:b/>
          <w:bCs/>
          <w:color w:val="3366FF"/>
          <w:sz w:val="32"/>
          <w:szCs w:val="32"/>
          <w:lang w:val="ms-MY"/>
        </w:rPr>
        <w:t>ТОГТООЛ</w:t>
      </w:r>
    </w:p>
    <w:p w14:paraId="5DA82BDF" w14:textId="77777777" w:rsidR="00600340" w:rsidRPr="00600340" w:rsidRDefault="00600340" w:rsidP="00600340">
      <w:pPr>
        <w:rPr>
          <w:rFonts w:ascii="Arial" w:hAnsi="Arial" w:cs="Arial"/>
          <w:lang w:val="ms-MY"/>
        </w:rPr>
      </w:pPr>
    </w:p>
    <w:p w14:paraId="17A7E99F" w14:textId="42D1E165" w:rsidR="00600340" w:rsidRPr="00600340" w:rsidRDefault="00600340" w:rsidP="00600340">
      <w:pPr>
        <w:rPr>
          <w:rFonts w:ascii="Arial" w:hAnsi="Arial" w:cs="Arial"/>
          <w:lang w:val="ms-MY"/>
        </w:rPr>
      </w:pPr>
      <w:r w:rsidRPr="00600340">
        <w:rPr>
          <w:rFonts w:ascii="Arial" w:hAnsi="Arial" w:cs="Arial"/>
          <w:color w:val="3366FF"/>
          <w:sz w:val="20"/>
          <w:szCs w:val="20"/>
          <w:u w:val="single"/>
          <w:lang w:val="ms-MY"/>
        </w:rPr>
        <w:t>202</w:t>
      </w:r>
      <w:r w:rsidRPr="00600340">
        <w:rPr>
          <w:rFonts w:ascii="Arial" w:hAnsi="Arial" w:cs="Arial"/>
          <w:color w:val="3366FF"/>
          <w:sz w:val="20"/>
          <w:szCs w:val="20"/>
          <w:u w:val="single"/>
        </w:rPr>
        <w:t>6</w:t>
      </w:r>
      <w:r w:rsidRPr="00600340">
        <w:rPr>
          <w:rFonts w:ascii="Arial" w:hAnsi="Arial" w:cs="Arial"/>
          <w:color w:val="3366FF"/>
          <w:sz w:val="20"/>
          <w:szCs w:val="20"/>
          <w:lang w:val="ms-MY"/>
        </w:rPr>
        <w:t xml:space="preserve"> оны </w:t>
      </w:r>
      <w:r w:rsidRPr="00600340">
        <w:rPr>
          <w:rFonts w:ascii="Arial" w:hAnsi="Arial" w:cs="Arial"/>
          <w:color w:val="3366FF"/>
          <w:sz w:val="20"/>
          <w:szCs w:val="20"/>
          <w:u w:val="single"/>
          <w:lang w:val="mn-MN"/>
        </w:rPr>
        <w:t>0</w:t>
      </w:r>
      <w:r>
        <w:rPr>
          <w:rFonts w:ascii="Arial" w:hAnsi="Arial" w:cs="Arial"/>
          <w:color w:val="3366FF"/>
          <w:sz w:val="20"/>
          <w:szCs w:val="20"/>
          <w:u w:val="single"/>
          <w:lang w:val="mn-MN"/>
        </w:rPr>
        <w:t>7</w:t>
      </w:r>
      <w:r w:rsidRPr="00600340">
        <w:rPr>
          <w:rFonts w:ascii="Arial" w:hAnsi="Arial" w:cs="Arial"/>
          <w:color w:val="3366FF"/>
          <w:sz w:val="20"/>
          <w:szCs w:val="20"/>
          <w:lang w:val="ms-MY"/>
        </w:rPr>
        <w:t xml:space="preserve"> сарын </w:t>
      </w:r>
      <w:r>
        <w:rPr>
          <w:rFonts w:ascii="Arial" w:hAnsi="Arial" w:cs="Arial"/>
          <w:color w:val="3366FF"/>
          <w:sz w:val="20"/>
          <w:szCs w:val="20"/>
          <w:u w:val="single"/>
          <w:lang w:val="mn-MN"/>
        </w:rPr>
        <w:t>02</w:t>
      </w:r>
      <w:r w:rsidRPr="00600340">
        <w:rPr>
          <w:rFonts w:ascii="Arial" w:hAnsi="Arial" w:cs="Arial"/>
          <w:color w:val="3366FF"/>
          <w:sz w:val="20"/>
          <w:szCs w:val="20"/>
          <w:lang w:val="ms-MY"/>
        </w:rPr>
        <w:t xml:space="preserve"> өдөр     </w:t>
      </w:r>
      <w:r w:rsidRPr="00600340">
        <w:rPr>
          <w:rFonts w:ascii="Arial" w:hAnsi="Arial" w:cs="Arial"/>
          <w:color w:val="3366FF"/>
          <w:sz w:val="20"/>
          <w:szCs w:val="20"/>
          <w:lang w:val="mn-MN"/>
        </w:rPr>
        <w:tab/>
      </w:r>
      <w:r w:rsidRPr="00600340">
        <w:rPr>
          <w:rFonts w:ascii="Arial" w:hAnsi="Arial" w:cs="Arial"/>
          <w:color w:val="3366FF"/>
          <w:sz w:val="20"/>
          <w:szCs w:val="20"/>
          <w:lang w:val="mn-MN"/>
        </w:rPr>
        <w:tab/>
        <w:t xml:space="preserve">            </w:t>
      </w:r>
      <w:r w:rsidRPr="00600340">
        <w:rPr>
          <w:rFonts w:ascii="Arial" w:hAnsi="Arial" w:cs="Arial"/>
          <w:color w:val="3366FF"/>
          <w:sz w:val="20"/>
          <w:szCs w:val="20"/>
          <w:lang w:val="ms-MY"/>
        </w:rPr>
        <w:t xml:space="preserve">Дугаар </w:t>
      </w:r>
      <w:r>
        <w:rPr>
          <w:rFonts w:ascii="Arial" w:hAnsi="Arial" w:cs="Arial"/>
          <w:color w:val="3366FF"/>
          <w:sz w:val="20"/>
          <w:szCs w:val="20"/>
          <w:u w:val="single"/>
          <w:lang w:val="mn-MN"/>
        </w:rPr>
        <w:t>51</w:t>
      </w:r>
      <w:r w:rsidRPr="00600340">
        <w:rPr>
          <w:rFonts w:ascii="Arial" w:hAnsi="Arial" w:cs="Arial"/>
          <w:color w:val="3366FF"/>
          <w:sz w:val="20"/>
          <w:szCs w:val="20"/>
          <w:lang w:val="ms-MY"/>
        </w:rPr>
        <w:t xml:space="preserve">          </w:t>
      </w:r>
      <w:r w:rsidRPr="00600340">
        <w:rPr>
          <w:rFonts w:ascii="Arial" w:hAnsi="Arial" w:cs="Arial"/>
          <w:color w:val="3366FF"/>
          <w:sz w:val="20"/>
          <w:szCs w:val="20"/>
          <w:lang w:val="mn-MN"/>
        </w:rPr>
        <w:t xml:space="preserve">           </w:t>
      </w:r>
      <w:r w:rsidRPr="00600340">
        <w:rPr>
          <w:rFonts w:ascii="Arial" w:hAnsi="Arial" w:cs="Arial"/>
          <w:color w:val="3366FF"/>
          <w:sz w:val="20"/>
          <w:szCs w:val="20"/>
          <w:lang w:val="ms-MY"/>
        </w:rPr>
        <w:t>Төрийн ордон, Улаанбаатар хот</w:t>
      </w:r>
    </w:p>
    <w:p w14:paraId="11D8ACEA" w14:textId="77CC1A31" w:rsidR="00600340" w:rsidRDefault="00600340" w:rsidP="00600340">
      <w:pPr>
        <w:spacing w:line="360" w:lineRule="auto"/>
        <w:rPr>
          <w:rFonts w:ascii="Arial" w:hAnsi="Arial" w:cs="Arial"/>
          <w:lang w:val="ms-MY"/>
        </w:rPr>
      </w:pPr>
    </w:p>
    <w:p w14:paraId="6C15BFE3" w14:textId="77777777" w:rsidR="00600340" w:rsidRDefault="00600340" w:rsidP="00600340">
      <w:pPr>
        <w:spacing w:line="360" w:lineRule="auto"/>
        <w:rPr>
          <w:rFonts w:ascii="Arial" w:eastAsia="Arial" w:hAnsi="Arial" w:cs="Arial"/>
          <w:b/>
          <w:bCs/>
          <w:lang w:val="mn-MN"/>
        </w:rPr>
      </w:pPr>
    </w:p>
    <w:p w14:paraId="3CF023C5" w14:textId="77777777" w:rsidR="00C54374" w:rsidRDefault="00C54374" w:rsidP="00C54374">
      <w:pPr>
        <w:jc w:val="center"/>
        <w:rPr>
          <w:rFonts w:ascii="Arial" w:eastAsia="Arial" w:hAnsi="Arial" w:cs="Arial"/>
          <w:b/>
          <w:bCs/>
          <w:lang w:val="mn-MN"/>
        </w:rPr>
      </w:pPr>
      <w:r>
        <w:rPr>
          <w:rFonts w:ascii="Arial" w:eastAsia="Arial" w:hAnsi="Arial" w:cs="Arial"/>
          <w:b/>
          <w:bCs/>
          <w:lang w:val="mn-MN"/>
        </w:rPr>
        <w:t xml:space="preserve">   </w:t>
      </w:r>
      <w:r w:rsidRPr="00C54374">
        <w:rPr>
          <w:rFonts w:ascii="Arial" w:eastAsia="Arial" w:hAnsi="Arial" w:cs="Arial"/>
          <w:b/>
          <w:bCs/>
          <w:lang w:val="mn-MN"/>
        </w:rPr>
        <w:t xml:space="preserve">Монгол Улсын 2025 оны төсвийн </w:t>
      </w:r>
    </w:p>
    <w:p w14:paraId="58421FDE" w14:textId="47CECE92" w:rsidR="00C54374" w:rsidRDefault="00C54374" w:rsidP="00C54374">
      <w:pPr>
        <w:jc w:val="center"/>
        <w:rPr>
          <w:rFonts w:ascii="Arial" w:eastAsia="Arial" w:hAnsi="Arial" w:cs="Arial"/>
          <w:b/>
          <w:bCs/>
          <w:lang w:val="mn-MN"/>
        </w:rPr>
      </w:pPr>
      <w:r>
        <w:rPr>
          <w:rFonts w:ascii="Arial" w:eastAsia="Arial" w:hAnsi="Arial" w:cs="Arial"/>
          <w:b/>
          <w:bCs/>
          <w:lang w:val="mn-MN"/>
        </w:rPr>
        <w:t xml:space="preserve">   </w:t>
      </w:r>
      <w:r w:rsidRPr="00C54374">
        <w:rPr>
          <w:rFonts w:ascii="Arial" w:eastAsia="Arial" w:hAnsi="Arial" w:cs="Arial"/>
          <w:b/>
          <w:bCs/>
          <w:lang w:val="mn-MN"/>
        </w:rPr>
        <w:t xml:space="preserve">гүйцэтгэл баталсантай холбогдуулан </w:t>
      </w:r>
    </w:p>
    <w:p w14:paraId="1C77412E" w14:textId="417025E4" w:rsidR="00C54374" w:rsidRPr="00C54374" w:rsidRDefault="00C54374" w:rsidP="00C54374">
      <w:pPr>
        <w:jc w:val="center"/>
        <w:rPr>
          <w:rFonts w:ascii="Arial" w:eastAsia="Arial" w:hAnsi="Arial" w:cs="Arial"/>
          <w:b/>
          <w:bCs/>
          <w:lang w:val="mn-MN"/>
        </w:rPr>
      </w:pPr>
      <w:r>
        <w:rPr>
          <w:rFonts w:ascii="Arial" w:eastAsia="Arial" w:hAnsi="Arial" w:cs="Arial"/>
          <w:b/>
          <w:bCs/>
          <w:lang w:val="mn-MN"/>
        </w:rPr>
        <w:t xml:space="preserve">   </w:t>
      </w:r>
      <w:r w:rsidRPr="00C54374">
        <w:rPr>
          <w:rFonts w:ascii="Arial" w:eastAsia="Arial" w:hAnsi="Arial" w:cs="Arial"/>
          <w:b/>
          <w:bCs/>
          <w:lang w:val="mn-MN"/>
        </w:rPr>
        <w:t>авах зарим арга хэмжээний тухай</w:t>
      </w:r>
    </w:p>
    <w:p w14:paraId="260C33EA" w14:textId="77777777" w:rsidR="00C54374" w:rsidRPr="00C54374" w:rsidRDefault="00C54374" w:rsidP="00C54374">
      <w:pPr>
        <w:spacing w:line="360" w:lineRule="auto"/>
        <w:jc w:val="center"/>
        <w:rPr>
          <w:rFonts w:ascii="Arial" w:eastAsia="Arial" w:hAnsi="Arial" w:cs="Arial"/>
          <w:lang w:val="mn-MN"/>
        </w:rPr>
      </w:pPr>
    </w:p>
    <w:p w14:paraId="3D30664F" w14:textId="066A7E10" w:rsidR="00C54374" w:rsidRPr="00C54374" w:rsidRDefault="00C54374" w:rsidP="00C54374">
      <w:pPr>
        <w:ind w:firstLine="720"/>
        <w:jc w:val="both"/>
        <w:rPr>
          <w:rFonts w:ascii="Arial" w:eastAsia="Arial" w:hAnsi="Arial" w:cs="Arial"/>
          <w:lang w:val="mn-MN"/>
        </w:rPr>
      </w:pPr>
      <w:r w:rsidRPr="00C54374">
        <w:rPr>
          <w:rFonts w:ascii="Arial" w:eastAsia="Arial" w:hAnsi="Arial" w:cs="Arial"/>
          <w:lang w:val="mn-MN"/>
        </w:rPr>
        <w:t>Монгол Улсын Их Хурлын тухай хуулийн 5 дугаар зүйлийн 5.1 дэх хэсэг, Монгол Улсын Их Хурлын чуулганы хуралдааны дэгийн тухай хуулийн 74 дүгээр  зүйлийн 74.7 дахь хэсгийг үндэслэн Монгол Улсын Их Хурлаас ТОГТООХ нь:</w:t>
      </w:r>
    </w:p>
    <w:p w14:paraId="04D1B76D" w14:textId="77777777" w:rsidR="00C54374" w:rsidRPr="00C54374" w:rsidRDefault="00C54374" w:rsidP="00C54374">
      <w:pPr>
        <w:jc w:val="both"/>
        <w:rPr>
          <w:rFonts w:ascii="Arial" w:eastAsia="Arial" w:hAnsi="Arial" w:cs="Arial"/>
          <w:lang w:val="mn-MN"/>
        </w:rPr>
      </w:pPr>
    </w:p>
    <w:p w14:paraId="7C767216"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eastAsia="Arial" w:hAnsi="Arial" w:cs="Arial"/>
          <w:szCs w:val="24"/>
          <w:lang w:val="mn-MN"/>
        </w:rPr>
        <w:t>1.Монгол Улсын 2025 оны төсвийн гүйцэтгэл баталсантай холбогдуулан</w:t>
      </w:r>
      <w:r w:rsidRPr="00C54374">
        <w:rPr>
          <w:rFonts w:ascii="Arial" w:eastAsia="Arial" w:hAnsi="Arial" w:cs="Arial"/>
          <w:b/>
          <w:bCs/>
          <w:szCs w:val="24"/>
          <w:lang w:val="mn-MN"/>
        </w:rPr>
        <w:t xml:space="preserve"> </w:t>
      </w:r>
      <w:r w:rsidRPr="00C54374">
        <w:rPr>
          <w:rFonts w:ascii="Arial" w:eastAsia="Arial" w:hAnsi="Arial" w:cs="Arial"/>
          <w:szCs w:val="24"/>
          <w:lang w:val="mn-MN"/>
        </w:rPr>
        <w:t>дараах арга хэмжээг авч хэрэгжүүлэхийг Монгол Улсын Засгийн газар /Н.Учрал/-т даалгасугай:</w:t>
      </w:r>
    </w:p>
    <w:p w14:paraId="6703BD9C"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p>
    <w:p w14:paraId="158E012F"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eastAsia="Arial" w:hAnsi="Arial" w:cs="Arial"/>
          <w:szCs w:val="24"/>
          <w:lang w:val="mn-MN"/>
        </w:rPr>
        <w:tab/>
        <w:t>1/төсвийн тусгай шаардлагыг зөрчсөн тохиолдол бүрийг бодитой илрүүлж, хуульд заасан хариуцлага хүлээлгэх арга хэмжээг авах, Монгол Улсын 2025 оны нэгдсэн төсвийн гүйцэтгэл, Засгийн газрын санхүүгийн нэгтгэсэн тайланд хийсэн аудитын тайланд дурдагдсан дүгнэлт, зөвлөмжийн хэрэгжилтийг хангаж ажиллах;</w:t>
      </w:r>
    </w:p>
    <w:p w14:paraId="03D0370D"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p>
    <w:p w14:paraId="65DCB26E"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eastAsia="Arial" w:hAnsi="Arial" w:cs="Arial"/>
          <w:szCs w:val="24"/>
          <w:lang w:val="mn-MN"/>
        </w:rPr>
        <w:tab/>
        <w:t xml:space="preserve"> 2/энэ тогтоолын 1.1 дэх дэд заалтад заасан хууль зөрчсөн үйлдэл,  аудитын дүгнэлтэд дурдсан давтагдаж байгаа болон нийтлэг алдаа, зөрчлийн бодит шалтгааныг судлан, түүнийг арилгах арга хэмжээг авах, цаашид давтан гаргахгүйгээр төсвийн сахилга батыг бэхжүүлж, хариуцлагыг сайжруулах;</w:t>
      </w:r>
    </w:p>
    <w:p w14:paraId="5EB61574"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p>
    <w:p w14:paraId="0A61E7C6"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eastAsia="Arial" w:hAnsi="Arial" w:cs="Arial"/>
          <w:szCs w:val="24"/>
          <w:lang w:val="mn-MN"/>
        </w:rPr>
        <w:tab/>
        <w:t>3/холбогдох хууль эрх зүйн орчныг боловсронгуй болгох шаардлагатай дараах асуудлаар санал боловсруулж, Монгол Улсын 2027 оны төсвийн төслийн хамт Улсын Их Хуралд өргөн мэдүүлэх:</w:t>
      </w:r>
    </w:p>
    <w:p w14:paraId="6905483B"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p>
    <w:p w14:paraId="0AB0ED35"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eastAsia="Arial" w:hAnsi="Arial" w:cs="Arial"/>
          <w:szCs w:val="24"/>
          <w:lang w:val="mn-MN"/>
        </w:rPr>
        <w:tab/>
      </w:r>
      <w:r w:rsidRPr="00C54374">
        <w:rPr>
          <w:rFonts w:ascii="Arial" w:eastAsia="Arial" w:hAnsi="Arial" w:cs="Arial"/>
          <w:szCs w:val="24"/>
          <w:lang w:val="mn-MN"/>
        </w:rPr>
        <w:tab/>
        <w:t>а/Монгол Улсын нэгдсэн төсвийн гүйцэтгэлд аудит хийж, дүгнэлт гаргах, түүнийг Улсын Их Хуралд өргөн мэдүүлэх, хэлэлцүүлж, батлуулах хугацааны цаглаварт дүн шинжилгээ хийж, бодит нөхцөл байдалтай уялдуулан өөрчлөлт оруулах;</w:t>
      </w:r>
    </w:p>
    <w:p w14:paraId="4088C1B3"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p>
    <w:p w14:paraId="597BD9C0"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eastAsia="Arial" w:hAnsi="Arial" w:cs="Arial"/>
          <w:szCs w:val="24"/>
          <w:lang w:val="mn-MN"/>
        </w:rPr>
        <w:tab/>
      </w:r>
      <w:r w:rsidRPr="00C54374">
        <w:rPr>
          <w:rFonts w:ascii="Arial" w:eastAsia="Arial" w:hAnsi="Arial" w:cs="Arial"/>
          <w:szCs w:val="24"/>
          <w:lang w:val="mn-MN"/>
        </w:rPr>
        <w:tab/>
        <w:t>б/төсвийн гүйцэтгэлийн үр дүнг бодитой тодорхойлохын тулд хөгжлийн бодлого төлөвлөлтийн баримт бичигт тусгагдсан төсвийн захирагч бүрийн хүрэх үр дүнгийн төлөвлөлттэй гүйцэтгэлийг харьцуулан үнэлэх шалгуур үзүүлэлтийг бий болгох, салбар бүрээр ил тод, нээлттэй хэлбэрээр хэлэлцүүлдэг байх шаардлага тогтоож, түүнд нийцүүлэн төсвийн гүйцэтгэлийг тайлагнадаг байх;</w:t>
      </w:r>
    </w:p>
    <w:p w14:paraId="7F5D7FE6"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eastAsia="Arial" w:hAnsi="Arial" w:cs="Arial"/>
          <w:szCs w:val="24"/>
          <w:lang w:val="mn-MN"/>
        </w:rPr>
        <w:lastRenderedPageBreak/>
        <w:tab/>
      </w:r>
      <w:r w:rsidRPr="00C54374">
        <w:rPr>
          <w:rFonts w:ascii="Arial" w:eastAsia="Arial" w:hAnsi="Arial" w:cs="Arial"/>
          <w:szCs w:val="24"/>
          <w:lang w:val="mn-MN"/>
        </w:rPr>
        <w:tab/>
      </w:r>
    </w:p>
    <w:p w14:paraId="4100A300"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eastAsia="Arial" w:hAnsi="Arial" w:cs="Arial"/>
          <w:szCs w:val="24"/>
          <w:lang w:val="mn-MN"/>
        </w:rPr>
        <w:tab/>
      </w:r>
      <w:r w:rsidRPr="00C54374">
        <w:rPr>
          <w:rFonts w:ascii="Arial" w:eastAsia="Arial" w:hAnsi="Arial" w:cs="Arial"/>
          <w:szCs w:val="24"/>
          <w:lang w:val="mn-MN"/>
        </w:rPr>
        <w:tab/>
        <w:t xml:space="preserve">в/Төсвийн болон Төсвийн тогтвортой байдлын хууль тогтоомжоор нэгдсэн төсвийн төлөвлөлт, гүйцэтгэл, тайлагналтад тавигдаж байгаа төсвийн тусгай шаардлагыг нэгэн зэрэг хангахад зөрчил үүсгэж болзошгүй зарим зохицуулалтыг судалж, хууль тогтоомжийн нийцлийг бүрэн хангуулах; </w:t>
      </w:r>
    </w:p>
    <w:p w14:paraId="507A07FF" w14:textId="77777777" w:rsidR="00C54374" w:rsidRPr="00C54374" w:rsidRDefault="00C54374" w:rsidP="00C54374">
      <w:pPr>
        <w:rPr>
          <w:rFonts w:ascii="Arial" w:hAnsi="Arial" w:cs="Arial"/>
          <w:lang w:val="mn-MN"/>
        </w:rPr>
      </w:pPr>
    </w:p>
    <w:p w14:paraId="7491A909" w14:textId="77777777" w:rsidR="00C54374" w:rsidRPr="00C54374" w:rsidRDefault="00C54374" w:rsidP="00C54374">
      <w:pPr>
        <w:jc w:val="both"/>
        <w:rPr>
          <w:rFonts w:ascii="Arial" w:hAnsi="Arial" w:cs="Arial"/>
          <w:color w:val="000000" w:themeColor="text1"/>
          <w:lang w:val="mn-MN"/>
        </w:rPr>
      </w:pPr>
      <w:r w:rsidRPr="00C54374">
        <w:rPr>
          <w:rFonts w:ascii="Arial" w:hAnsi="Arial" w:cs="Arial"/>
          <w:lang w:val="mn-MN"/>
        </w:rPr>
        <w:tab/>
      </w:r>
      <w:r w:rsidRPr="00C54374">
        <w:rPr>
          <w:rFonts w:ascii="Arial" w:hAnsi="Arial" w:cs="Arial"/>
          <w:lang w:val="mn-MN"/>
        </w:rPr>
        <w:tab/>
      </w:r>
      <w:r w:rsidRPr="00C54374">
        <w:rPr>
          <w:rFonts w:ascii="Arial" w:hAnsi="Arial" w:cs="Arial"/>
          <w:lang w:val="mn-MN"/>
        </w:rPr>
        <w:tab/>
        <w:t>г/</w:t>
      </w:r>
      <w:r w:rsidRPr="00C54374">
        <w:rPr>
          <w:rFonts w:ascii="Arial" w:hAnsi="Arial" w:cs="Arial"/>
          <w:color w:val="000000" w:themeColor="text1"/>
          <w:lang w:val="mn-MN"/>
        </w:rPr>
        <w:t>Монголбанкны жилийн төсөв болон түүний гүйцэтгэлийг Улсын Их Хурлын холбогдох Байнгын хороогоор хэлэлцүүлдэг байх;</w:t>
      </w:r>
    </w:p>
    <w:p w14:paraId="130EB196" w14:textId="77777777" w:rsidR="00C54374" w:rsidRPr="00C54374" w:rsidRDefault="00C54374" w:rsidP="00C54374">
      <w:pPr>
        <w:jc w:val="both"/>
        <w:rPr>
          <w:rFonts w:ascii="Arial" w:hAnsi="Arial" w:cs="Arial"/>
          <w:color w:val="000000" w:themeColor="text1"/>
          <w:lang w:val="mn-MN"/>
        </w:rPr>
      </w:pPr>
    </w:p>
    <w:p w14:paraId="35BF8FF3" w14:textId="77777777" w:rsidR="00C54374" w:rsidRPr="00C54374" w:rsidRDefault="00C54374" w:rsidP="00C54374">
      <w:pPr>
        <w:jc w:val="both"/>
        <w:rPr>
          <w:rFonts w:ascii="Arial" w:hAnsi="Arial" w:cs="Arial"/>
          <w:color w:val="000000" w:themeColor="text1"/>
          <w:lang w:val="mn-MN"/>
        </w:rPr>
      </w:pPr>
      <w:r w:rsidRPr="00C54374">
        <w:rPr>
          <w:rFonts w:ascii="Arial" w:hAnsi="Arial" w:cs="Arial"/>
          <w:color w:val="000000" w:themeColor="text1"/>
          <w:lang w:val="mn-MN"/>
        </w:rPr>
        <w:tab/>
      </w:r>
      <w:r w:rsidRPr="00C54374">
        <w:rPr>
          <w:rFonts w:ascii="Arial" w:hAnsi="Arial" w:cs="Arial"/>
          <w:color w:val="000000" w:themeColor="text1"/>
          <w:lang w:val="mn-MN"/>
        </w:rPr>
        <w:tab/>
      </w:r>
      <w:r w:rsidRPr="00C54374">
        <w:rPr>
          <w:rFonts w:ascii="Arial" w:hAnsi="Arial" w:cs="Arial"/>
          <w:color w:val="000000" w:themeColor="text1"/>
          <w:lang w:val="mn-MN"/>
        </w:rPr>
        <w:tab/>
        <w:t>д/Улсын Их Хурлын хэлэлцүүлгийг бодит үр дүнтэй болгохын тулд төсвийн гүйцэтгэлийг төрийн болон орон нутгийн өмчит хуулийн этгээдийн төсвийн гүйцэтгэлийн тайлан, түүнд хийсэн аудитын дүгнэлт, бусад төсөвт байгууллагуудын төсвийн гүйцэтгэлийн тайлан, түүнд хийсэн аудит, Засгийн газрын санхүүгийн нэгтгэсэн тайлан, түүнд хийсэн аудит гэсэн ангилалтайгаар хэлэлцдэг байх;</w:t>
      </w:r>
    </w:p>
    <w:p w14:paraId="1102298F" w14:textId="77777777" w:rsidR="00C54374" w:rsidRPr="00C54374" w:rsidRDefault="00C54374" w:rsidP="00C54374">
      <w:pPr>
        <w:jc w:val="both"/>
        <w:rPr>
          <w:rFonts w:ascii="Arial" w:hAnsi="Arial" w:cs="Arial"/>
          <w:color w:val="000000" w:themeColor="text1"/>
          <w:lang w:val="mn-MN"/>
        </w:rPr>
      </w:pPr>
    </w:p>
    <w:p w14:paraId="1B0102FB" w14:textId="77777777" w:rsidR="00C54374" w:rsidRPr="00C54374" w:rsidRDefault="00C54374" w:rsidP="00C54374">
      <w:pPr>
        <w:jc w:val="both"/>
        <w:rPr>
          <w:rFonts w:ascii="Arial" w:hAnsi="Arial" w:cs="Arial"/>
          <w:color w:val="000000" w:themeColor="text1"/>
          <w:lang w:val="mn-MN"/>
        </w:rPr>
      </w:pPr>
      <w:r w:rsidRPr="00C54374">
        <w:rPr>
          <w:rFonts w:ascii="Arial" w:hAnsi="Arial" w:cs="Arial"/>
          <w:color w:val="000000" w:themeColor="text1"/>
          <w:lang w:val="mn-MN"/>
        </w:rPr>
        <w:tab/>
      </w:r>
      <w:r w:rsidRPr="00C54374">
        <w:rPr>
          <w:rFonts w:ascii="Arial" w:hAnsi="Arial" w:cs="Arial"/>
          <w:color w:val="000000" w:themeColor="text1"/>
          <w:lang w:val="mn-MN"/>
        </w:rPr>
        <w:tab/>
      </w:r>
      <w:r w:rsidRPr="00C54374">
        <w:rPr>
          <w:rFonts w:ascii="Arial" w:hAnsi="Arial" w:cs="Arial"/>
          <w:color w:val="000000" w:themeColor="text1"/>
          <w:lang w:val="mn-MN"/>
        </w:rPr>
        <w:tab/>
        <w:t>е/төсвөөс санхүүжүүлэх урсгал зардлын эдийн засгийн ангилал, бүтцийг оновчтой тогтоох.</w:t>
      </w:r>
    </w:p>
    <w:p w14:paraId="10DC1B39" w14:textId="77777777" w:rsidR="00C54374" w:rsidRPr="00C54374" w:rsidRDefault="00C54374" w:rsidP="00C54374">
      <w:pPr>
        <w:jc w:val="both"/>
        <w:rPr>
          <w:rFonts w:ascii="Arial" w:hAnsi="Arial" w:cs="Arial"/>
          <w:color w:val="000000" w:themeColor="text1"/>
          <w:lang w:val="mn-MN"/>
        </w:rPr>
      </w:pPr>
      <w:r w:rsidRPr="00C54374">
        <w:rPr>
          <w:rFonts w:ascii="Arial" w:hAnsi="Arial" w:cs="Arial"/>
          <w:color w:val="000000" w:themeColor="text1"/>
          <w:lang w:val="mn-MN"/>
        </w:rPr>
        <w:tab/>
      </w:r>
      <w:r w:rsidRPr="00C54374">
        <w:rPr>
          <w:rFonts w:ascii="Arial" w:hAnsi="Arial" w:cs="Arial"/>
          <w:color w:val="000000" w:themeColor="text1"/>
          <w:lang w:val="mn-MN"/>
        </w:rPr>
        <w:tab/>
      </w:r>
    </w:p>
    <w:p w14:paraId="670D0A7C" w14:textId="77777777" w:rsidR="00C54374" w:rsidRPr="00C54374" w:rsidRDefault="00C54374" w:rsidP="00C54374">
      <w:pPr>
        <w:jc w:val="both"/>
        <w:rPr>
          <w:rFonts w:ascii="Arial" w:hAnsi="Arial" w:cs="Arial"/>
          <w:lang w:val="mn-MN"/>
        </w:rPr>
      </w:pPr>
      <w:r w:rsidRPr="00C54374">
        <w:rPr>
          <w:rFonts w:ascii="Arial" w:hAnsi="Arial" w:cs="Arial"/>
          <w:lang w:val="mn-MN"/>
        </w:rPr>
        <w:tab/>
      </w:r>
      <w:r w:rsidRPr="00C54374">
        <w:rPr>
          <w:rFonts w:ascii="Arial" w:hAnsi="Arial" w:cs="Arial"/>
          <w:lang w:val="mn-MN"/>
        </w:rPr>
        <w:tab/>
        <w:t>4/төсвийн орлогын тогтвортой өсөлтийг хангах зорилгоор хөрөнгийн зах зээлийг хөгжүүлэх чиглэлээр үр нөлөө бүхий цогц арга хэмжээг хэрэгжүүлж,  дотоод, гадаадын хөрөнгө оруулагчдын хөрөнгө оруулалтыг эдийн засгийн өндөр өгөөжтэй, хөгжлийг дэмжих төсөл, хөтөлбөрт чиглүүлэх, Засгийн газрын өрийн удирдлагыг эрсдэлийг бууруулсан, оновчтой, тогтвортой зарчимд нийцүүлэн хэрэгжүүлэх;</w:t>
      </w:r>
    </w:p>
    <w:p w14:paraId="7A581A66" w14:textId="77777777" w:rsidR="00C54374" w:rsidRPr="00C54374" w:rsidRDefault="00C54374" w:rsidP="00C54374">
      <w:pPr>
        <w:jc w:val="both"/>
        <w:rPr>
          <w:rFonts w:ascii="Arial" w:hAnsi="Arial" w:cs="Arial"/>
          <w:lang w:val="mn-MN"/>
        </w:rPr>
      </w:pPr>
    </w:p>
    <w:p w14:paraId="20F9B5B7"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hAnsi="Arial" w:cs="Arial"/>
          <w:szCs w:val="24"/>
          <w:lang w:val="mn-MN"/>
        </w:rPr>
        <w:tab/>
      </w:r>
      <w:r w:rsidRPr="00C54374">
        <w:rPr>
          <w:rFonts w:ascii="Arial" w:eastAsia="Arial" w:hAnsi="Arial" w:cs="Arial"/>
          <w:szCs w:val="24"/>
          <w:lang w:val="mn-MN"/>
        </w:rPr>
        <w:t>5/төрийн болон орон нутгийн өмчит хуулийн этгээдийн үндсэн үйл ажиллагааны онцлогоос хамааран валютын ханшийн эрсдэлийг бууруулах зорилгоор валютын ханшийн эрсдэлээс хамгаалах санхүүгийн шинэ бүтээгдэхүүн бий болгох, хөгжүүлэх асуудлаар Монголбанктай хамтран судалж, шаардлагатай эрх зүйн зохицуулалтыг бий болгох санал боловсруулах;</w:t>
      </w:r>
    </w:p>
    <w:p w14:paraId="26BCEE4C"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p>
    <w:p w14:paraId="390E91A8"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hAnsi="Arial" w:cs="Arial"/>
          <w:szCs w:val="24"/>
          <w:lang w:val="mn-MN"/>
        </w:rPr>
        <w:tab/>
        <w:t>6/төрийн өмчит банкны хугацаа нь дууссан зээлийн гэрээний дагуу төлөгдөх эргэн төлөлт, авлагыг үе шаттай барагдуулах төлөвлөгөөг жил бүрийн улсын төсөвт тусган батлуулах, хэрэгжилт, үр дүнг тогтмол тайлагнадаг тогтолцоог бүрдүүлэх;</w:t>
      </w:r>
      <w:r w:rsidRPr="00C54374">
        <w:rPr>
          <w:rFonts w:ascii="Arial" w:eastAsia="Arial" w:hAnsi="Arial" w:cs="Arial"/>
          <w:szCs w:val="24"/>
          <w:lang w:val="mn-MN"/>
        </w:rPr>
        <w:tab/>
      </w:r>
    </w:p>
    <w:p w14:paraId="7EF6AEC6"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p>
    <w:p w14:paraId="589BCC7A"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eastAsia="Arial" w:hAnsi="Arial" w:cs="Arial"/>
          <w:szCs w:val="24"/>
          <w:lang w:val="mn-MN"/>
        </w:rPr>
        <w:tab/>
        <w:t>7/төрийн байгууллага, төрийн өмчит компанийн засаглал, ил тод байдал, төсөв, санхүүгийн сахилга хариуцлагыг сайжруулах, ашигт ажиллагааг нэмэгдүүлэх, тухайн хуулийн этгээдэд хууль тогтоомжоор болон хувьцаа эзэмшигч, үүсгэн байгуулагчаас баталсан дүрмээр зөвшөөрснөөс бусад тохиолдолд дараах үйл ажиллагааг санхүүжүүлэхийг хязгаарлах:</w:t>
      </w:r>
    </w:p>
    <w:p w14:paraId="6C00498C" w14:textId="77777777" w:rsidR="00C54374" w:rsidRPr="00C54374" w:rsidRDefault="00C54374" w:rsidP="00C54374">
      <w:pPr>
        <w:pStyle w:val="NormalWeb"/>
        <w:shd w:val="clear" w:color="auto" w:fill="FFFFFF"/>
        <w:spacing w:before="0" w:after="0" w:line="240" w:lineRule="auto"/>
        <w:ind w:left="720"/>
        <w:rPr>
          <w:rFonts w:ascii="Arial" w:eastAsia="Arial" w:hAnsi="Arial" w:cs="Arial"/>
          <w:szCs w:val="24"/>
          <w:lang w:val="mn-MN"/>
        </w:rPr>
      </w:pPr>
    </w:p>
    <w:p w14:paraId="621268E8" w14:textId="77777777" w:rsidR="00C54374" w:rsidRPr="00C54374" w:rsidRDefault="00C54374" w:rsidP="00C54374">
      <w:pPr>
        <w:pStyle w:val="NormalWeb"/>
        <w:shd w:val="clear" w:color="auto" w:fill="FFFFFF"/>
        <w:spacing w:before="0" w:after="0" w:line="240" w:lineRule="auto"/>
        <w:ind w:firstLine="1440"/>
        <w:rPr>
          <w:rFonts w:ascii="Arial" w:eastAsia="Arial" w:hAnsi="Arial" w:cs="Arial"/>
          <w:szCs w:val="24"/>
          <w:lang w:val="mn-MN"/>
        </w:rPr>
      </w:pPr>
      <w:r w:rsidRPr="00C54374">
        <w:rPr>
          <w:rFonts w:ascii="Arial" w:eastAsia="Arial" w:hAnsi="Arial" w:cs="Arial"/>
          <w:szCs w:val="24"/>
          <w:lang w:val="mn-MN"/>
        </w:rPr>
        <w:tab/>
        <w:t>а/хувийн хэвшилтэй өрсөлдөх арилжааны шинжтэй үйл ажиллагааг эрхлэх;</w:t>
      </w:r>
    </w:p>
    <w:p w14:paraId="774F7F98" w14:textId="77777777" w:rsidR="00C54374" w:rsidRPr="00C54374" w:rsidRDefault="00C54374" w:rsidP="00C54374">
      <w:pPr>
        <w:pStyle w:val="NormalWeb"/>
        <w:shd w:val="clear" w:color="auto" w:fill="FFFFFF"/>
        <w:spacing w:before="0" w:after="0" w:line="240" w:lineRule="auto"/>
        <w:ind w:left="720"/>
        <w:rPr>
          <w:rFonts w:ascii="Arial" w:eastAsia="Arial" w:hAnsi="Arial" w:cs="Arial"/>
          <w:szCs w:val="24"/>
          <w:lang w:val="mn-MN"/>
        </w:rPr>
      </w:pPr>
      <w:r w:rsidRPr="00C54374">
        <w:rPr>
          <w:rFonts w:ascii="Arial" w:eastAsia="Arial" w:hAnsi="Arial" w:cs="Arial"/>
          <w:szCs w:val="24"/>
          <w:lang w:val="mn-MN"/>
        </w:rPr>
        <w:tab/>
      </w:r>
    </w:p>
    <w:p w14:paraId="3FDED8F7" w14:textId="77777777" w:rsidR="00C54374" w:rsidRPr="00C54374" w:rsidRDefault="00C54374" w:rsidP="00C54374">
      <w:pPr>
        <w:pStyle w:val="NormalWeb"/>
        <w:shd w:val="clear" w:color="auto" w:fill="FFFFFF"/>
        <w:spacing w:before="0" w:after="0" w:line="240" w:lineRule="auto"/>
        <w:ind w:firstLine="1440"/>
        <w:rPr>
          <w:rFonts w:ascii="Arial" w:eastAsia="Arial" w:hAnsi="Arial" w:cs="Arial"/>
          <w:szCs w:val="24"/>
          <w:lang w:val="mn-MN"/>
        </w:rPr>
      </w:pPr>
      <w:r w:rsidRPr="00C54374">
        <w:rPr>
          <w:rFonts w:ascii="Arial" w:eastAsia="Arial" w:hAnsi="Arial" w:cs="Arial"/>
          <w:szCs w:val="24"/>
          <w:lang w:val="mn-MN"/>
        </w:rPr>
        <w:tab/>
        <w:t>б/нийгмийн хариуцлагын хүрээнд үндсэн үйл ажиллагаанаас бусад чиглэлээр зарлага, санхүүжилт гаргах.</w:t>
      </w:r>
    </w:p>
    <w:p w14:paraId="63364130"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p>
    <w:p w14:paraId="336FB6E3" w14:textId="77777777" w:rsidR="00C54374" w:rsidRPr="00C54374" w:rsidRDefault="00C54374" w:rsidP="00C54374">
      <w:pPr>
        <w:pStyle w:val="NormalWeb"/>
        <w:shd w:val="clear" w:color="auto" w:fill="FFFFFF"/>
        <w:spacing w:before="0" w:after="0" w:line="240" w:lineRule="auto"/>
        <w:ind w:firstLine="1440"/>
        <w:rPr>
          <w:rFonts w:ascii="Arial" w:eastAsia="Arial" w:hAnsi="Arial" w:cs="Arial"/>
          <w:szCs w:val="24"/>
          <w:lang w:val="mn-MN"/>
        </w:rPr>
      </w:pPr>
      <w:r w:rsidRPr="00C54374">
        <w:rPr>
          <w:rFonts w:ascii="Arial" w:eastAsia="Arial" w:hAnsi="Arial" w:cs="Arial"/>
          <w:szCs w:val="24"/>
          <w:lang w:val="mn-MN"/>
        </w:rPr>
        <w:t>8/Улсын Их Хурлаар шийдвэрлэж, зөвшөөрснөөс бусад тохиолдолд төрийн өмчит хуулийн этгээдээс харилцан хамааралгүй бусад төрийн өмчит хуулийн этгээдэд, эсхүл төсвийн байгууллагад зээл олгохыг хязгаарлах;</w:t>
      </w:r>
    </w:p>
    <w:p w14:paraId="5FC8043F"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p>
    <w:p w14:paraId="1757C04D" w14:textId="77777777" w:rsidR="00C54374" w:rsidRPr="00C54374" w:rsidRDefault="00C54374" w:rsidP="00C54374">
      <w:pPr>
        <w:pStyle w:val="NormalWeb"/>
        <w:shd w:val="clear" w:color="auto" w:fill="FFFFFF"/>
        <w:spacing w:before="0" w:after="0" w:line="240" w:lineRule="auto"/>
        <w:rPr>
          <w:rFonts w:ascii="Arial" w:eastAsia="Arial" w:hAnsi="Arial" w:cs="Arial"/>
          <w:szCs w:val="24"/>
          <w:lang w:val="mn-MN"/>
        </w:rPr>
      </w:pPr>
      <w:r w:rsidRPr="00C54374">
        <w:rPr>
          <w:rFonts w:ascii="Arial" w:eastAsia="Arial" w:hAnsi="Arial" w:cs="Arial"/>
          <w:szCs w:val="24"/>
          <w:lang w:val="mn-MN"/>
        </w:rPr>
        <w:tab/>
        <w:t>9/төрийн болон орон нутгийн өмчит хуулийн этгээдийн цалин хөлсний тогтолцоог тухайн этгээдийн санхүүгийн үйл ажиллагааны үр дүн, бизнес төлөвлөгөө болон техник, эдийн засгийн зорилтот түвшний хүрсэн үр дүн, өрсөлдөх чадвар ба үйл ажиллагааны цар хүрээ, эдийн засаг, нийгэмд үзүүлэх үр өгөөж зэрэг хүчин зүйлийг харгалзан гүйцэтгэлийн шалгуур үзүүлэлтэд үндэслэн тооцдог аргачлалд суурилан, уян хатан тогтоох зохицуулалтыг бий болгож нэвтрүүлэх.</w:t>
      </w:r>
    </w:p>
    <w:p w14:paraId="1C791487" w14:textId="77777777" w:rsidR="00C54374" w:rsidRPr="00C54374" w:rsidRDefault="00C54374" w:rsidP="00C54374">
      <w:pPr>
        <w:jc w:val="both"/>
        <w:rPr>
          <w:rFonts w:ascii="Arial" w:hAnsi="Arial" w:cs="Arial"/>
          <w:lang w:val="mn-MN"/>
        </w:rPr>
      </w:pPr>
    </w:p>
    <w:p w14:paraId="6C154E9D" w14:textId="77777777" w:rsidR="00C54374" w:rsidRPr="00C54374" w:rsidRDefault="00C54374" w:rsidP="00C54374">
      <w:pPr>
        <w:jc w:val="both"/>
        <w:rPr>
          <w:rFonts w:ascii="Arial" w:hAnsi="Arial" w:cs="Arial"/>
          <w:color w:val="EE0000"/>
          <w:lang w:val="mn-MN"/>
        </w:rPr>
      </w:pPr>
      <w:r w:rsidRPr="00C54374">
        <w:rPr>
          <w:rFonts w:ascii="Arial" w:hAnsi="Arial" w:cs="Arial"/>
          <w:lang w:val="mn-MN"/>
        </w:rPr>
        <w:tab/>
        <w:t xml:space="preserve">2.Төрийн болон орон нутгийн өмчит хуулийн этгээдийн олон жилийн насжилттай, зээлийн хугацаа нь хэтэрсэн болон найдваргүй болох эрсдэлтэй зээлийн авлагын үлдэгдлийг бодитоор тодорхойлж, аудит хийхдээ аудитын стандарт, холбогдох хууль тогтоомжийн нийцлийг хангаж ажиллахыг Үндэсний аудитын газар /С.Магнайсүрэн/-т даалгасугай.  </w:t>
      </w:r>
    </w:p>
    <w:p w14:paraId="0875D97F" w14:textId="77777777" w:rsidR="00C54374" w:rsidRPr="00C54374" w:rsidRDefault="00C54374" w:rsidP="00C54374">
      <w:pPr>
        <w:jc w:val="both"/>
        <w:rPr>
          <w:rFonts w:ascii="Arial" w:hAnsi="Arial" w:cs="Arial"/>
          <w:color w:val="EE0000"/>
          <w:lang w:val="mn-MN"/>
        </w:rPr>
      </w:pPr>
    </w:p>
    <w:p w14:paraId="2C258560" w14:textId="77777777" w:rsidR="00C54374" w:rsidRPr="00C54374" w:rsidRDefault="00C54374" w:rsidP="00C54374">
      <w:pPr>
        <w:jc w:val="both"/>
        <w:rPr>
          <w:rFonts w:ascii="Arial" w:hAnsi="Arial" w:cs="Arial"/>
          <w:color w:val="000000" w:themeColor="text1"/>
          <w:lang w:val="mn-MN"/>
        </w:rPr>
      </w:pPr>
      <w:r w:rsidRPr="00C54374">
        <w:rPr>
          <w:rFonts w:ascii="Arial" w:hAnsi="Arial" w:cs="Arial"/>
          <w:color w:val="000000" w:themeColor="text1"/>
          <w:lang w:val="mn-MN"/>
        </w:rPr>
        <w:tab/>
        <w:t>3.Энэ тогтоолын хэрэгжилтэд хяналт тавьж ажиллахыг Монгол Улсын Их Хурлын Төсвийн байнгын хороо /Н.Наранбаатар/-нд даалгасугай.</w:t>
      </w:r>
    </w:p>
    <w:p w14:paraId="367A7C1B" w14:textId="77777777" w:rsidR="00C54374" w:rsidRPr="00C54374" w:rsidRDefault="00C54374" w:rsidP="00C54374">
      <w:pPr>
        <w:jc w:val="both"/>
        <w:rPr>
          <w:rFonts w:ascii="Arial" w:hAnsi="Arial" w:cs="Arial"/>
          <w:color w:val="000000" w:themeColor="text1"/>
          <w:lang w:val="mn-MN"/>
        </w:rPr>
      </w:pPr>
    </w:p>
    <w:p w14:paraId="13F7F58C" w14:textId="77777777" w:rsidR="00C54374" w:rsidRPr="00C54374" w:rsidRDefault="00C54374" w:rsidP="00C54374">
      <w:pPr>
        <w:jc w:val="both"/>
        <w:rPr>
          <w:rFonts w:ascii="Arial" w:hAnsi="Arial" w:cs="Arial"/>
          <w:color w:val="000000" w:themeColor="text1"/>
          <w:lang w:val="mn-MN"/>
        </w:rPr>
      </w:pPr>
    </w:p>
    <w:p w14:paraId="2A93B841" w14:textId="77777777" w:rsidR="00C54374" w:rsidRPr="00C54374" w:rsidRDefault="00C54374" w:rsidP="00C54374">
      <w:pPr>
        <w:jc w:val="center"/>
        <w:rPr>
          <w:rFonts w:ascii="Arial" w:hAnsi="Arial" w:cs="Arial"/>
          <w:color w:val="000000" w:themeColor="text1"/>
          <w:lang w:val="mn-MN"/>
        </w:rPr>
      </w:pPr>
    </w:p>
    <w:p w14:paraId="31FE0FAF" w14:textId="77777777" w:rsidR="00C00466" w:rsidRDefault="00C00466" w:rsidP="00C54374">
      <w:pPr>
        <w:pStyle w:val="paragraph"/>
        <w:spacing w:before="0" w:beforeAutospacing="0" w:after="0" w:afterAutospacing="0"/>
        <w:ind w:left="720" w:firstLine="720"/>
        <w:jc w:val="both"/>
        <w:rPr>
          <w:rStyle w:val="normaltextrun"/>
          <w:rFonts w:ascii="Arial" w:eastAsiaTheme="minorEastAsia" w:hAnsi="Arial" w:cs="Arial"/>
          <w:color w:val="000000" w:themeColor="text1"/>
          <w:lang w:val="mn-MN"/>
        </w:rPr>
      </w:pPr>
    </w:p>
    <w:p w14:paraId="27DF8E4A" w14:textId="7ECA4D22" w:rsidR="00C54374" w:rsidRPr="00C54374" w:rsidRDefault="00C54374" w:rsidP="00C54374">
      <w:pPr>
        <w:pStyle w:val="paragraph"/>
        <w:spacing w:before="0" w:beforeAutospacing="0" w:after="0" w:afterAutospacing="0"/>
        <w:ind w:left="720" w:firstLine="720"/>
        <w:jc w:val="both"/>
        <w:rPr>
          <w:rStyle w:val="normaltextrun"/>
          <w:rFonts w:ascii="Arial" w:eastAsiaTheme="minorEastAsia" w:hAnsi="Arial" w:cs="Arial"/>
          <w:color w:val="000000" w:themeColor="text1"/>
          <w:lang w:val="mn-MN"/>
        </w:rPr>
      </w:pPr>
      <w:r w:rsidRPr="00C54374">
        <w:rPr>
          <w:rStyle w:val="normaltextrun"/>
          <w:rFonts w:ascii="Arial" w:eastAsiaTheme="minorEastAsia" w:hAnsi="Arial" w:cs="Arial"/>
          <w:color w:val="000000" w:themeColor="text1"/>
          <w:lang w:val="mn-MN"/>
        </w:rPr>
        <w:t xml:space="preserve">МОНГОЛ УЛСЫН </w:t>
      </w:r>
    </w:p>
    <w:p w14:paraId="46626647" w14:textId="77777777" w:rsidR="00C54374" w:rsidRPr="00C54374" w:rsidRDefault="00C54374" w:rsidP="00C54374">
      <w:pPr>
        <w:pStyle w:val="paragraph"/>
        <w:spacing w:before="0" w:beforeAutospacing="0" w:after="0" w:afterAutospacing="0"/>
        <w:ind w:left="720" w:firstLine="720"/>
        <w:jc w:val="both"/>
        <w:rPr>
          <w:rFonts w:ascii="Arial" w:eastAsiaTheme="minorEastAsia" w:hAnsi="Arial" w:cs="Arial"/>
          <w:color w:val="000000" w:themeColor="text1"/>
          <w:lang w:val="mn-MN"/>
        </w:rPr>
      </w:pPr>
      <w:r w:rsidRPr="00C54374">
        <w:rPr>
          <w:rStyle w:val="normaltextrun"/>
          <w:rFonts w:ascii="Arial" w:eastAsiaTheme="minorEastAsia" w:hAnsi="Arial" w:cs="Arial"/>
          <w:color w:val="000000" w:themeColor="text1"/>
          <w:lang w:val="mn-MN"/>
        </w:rPr>
        <w:t xml:space="preserve">ИХ ХУРЛЫН ДАРГА </w:t>
      </w:r>
      <w:r w:rsidRPr="00C54374">
        <w:rPr>
          <w:rStyle w:val="normaltextrun"/>
          <w:rFonts w:ascii="Arial" w:eastAsiaTheme="minorEastAsia" w:hAnsi="Arial" w:cs="Arial"/>
          <w:color w:val="000000" w:themeColor="text1"/>
          <w:lang w:val="mn-MN"/>
        </w:rPr>
        <w:tab/>
      </w:r>
      <w:r w:rsidRPr="00C54374">
        <w:rPr>
          <w:rStyle w:val="normaltextrun"/>
          <w:rFonts w:ascii="Arial" w:eastAsiaTheme="minorEastAsia" w:hAnsi="Arial" w:cs="Arial"/>
          <w:color w:val="000000" w:themeColor="text1"/>
          <w:lang w:val="mn-MN"/>
        </w:rPr>
        <w:tab/>
      </w:r>
      <w:r w:rsidRPr="00C54374">
        <w:rPr>
          <w:rStyle w:val="normaltextrun"/>
          <w:rFonts w:ascii="Arial" w:eastAsiaTheme="minorEastAsia" w:hAnsi="Arial" w:cs="Arial"/>
          <w:color w:val="000000" w:themeColor="text1"/>
          <w:lang w:val="mn-MN"/>
        </w:rPr>
        <w:tab/>
      </w:r>
      <w:r w:rsidRPr="00C54374">
        <w:rPr>
          <w:rStyle w:val="normaltextrun"/>
          <w:rFonts w:ascii="Arial" w:eastAsiaTheme="minorEastAsia" w:hAnsi="Arial" w:cs="Arial"/>
          <w:color w:val="000000" w:themeColor="text1"/>
          <w:lang w:val="mn-MN"/>
        </w:rPr>
        <w:tab/>
        <w:t>С.БЯМБАЦОГТ</w:t>
      </w:r>
    </w:p>
    <w:p w14:paraId="0E20EE64" w14:textId="77777777" w:rsidR="00293E92" w:rsidRPr="00C54374" w:rsidRDefault="00293E92">
      <w:pPr>
        <w:rPr>
          <w:lang w:val="mn-MN"/>
        </w:rPr>
      </w:pPr>
    </w:p>
    <w:sectPr w:rsidR="00293E92" w:rsidRPr="00C54374" w:rsidSect="00C54374">
      <w:footerReference w:type="default" r:id="rId7"/>
      <w:pgSz w:w="11906" w:h="16838"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2AD2C" w14:textId="77777777" w:rsidR="00705BCA" w:rsidRDefault="00705BCA" w:rsidP="00C54374">
      <w:r>
        <w:separator/>
      </w:r>
    </w:p>
  </w:endnote>
  <w:endnote w:type="continuationSeparator" w:id="0">
    <w:p w14:paraId="35D2FF63" w14:textId="77777777" w:rsidR="00705BCA" w:rsidRDefault="00705BCA" w:rsidP="00C5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500000000000000"/>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D5AED" w14:textId="4A641EBF" w:rsidR="00C54374" w:rsidRPr="00C54374" w:rsidRDefault="00C54374">
    <w:pPr>
      <w:pStyle w:val="Footer"/>
      <w:tabs>
        <w:tab w:val="clear" w:pos="4680"/>
        <w:tab w:val="clear" w:pos="9360"/>
      </w:tabs>
      <w:jc w:val="center"/>
      <w:rPr>
        <w:rFonts w:ascii="Arial" w:hAnsi="Arial" w:cs="Arial"/>
        <w:caps/>
        <w:noProof/>
        <w:color w:val="4472C4" w:themeColor="accent1"/>
        <w:sz w:val="20"/>
        <w:szCs w:val="20"/>
      </w:rPr>
    </w:pPr>
    <w:r w:rsidRPr="00C54374">
      <w:rPr>
        <w:rFonts w:ascii="Arial" w:hAnsi="Arial" w:cs="Arial"/>
        <w:caps/>
        <w:color w:val="4472C4" w:themeColor="accent1"/>
        <w:sz w:val="20"/>
        <w:szCs w:val="20"/>
      </w:rPr>
      <w:fldChar w:fldCharType="begin"/>
    </w:r>
    <w:r w:rsidRPr="00C54374">
      <w:rPr>
        <w:rFonts w:ascii="Arial" w:hAnsi="Arial" w:cs="Arial"/>
        <w:caps/>
        <w:color w:val="4472C4" w:themeColor="accent1"/>
        <w:sz w:val="20"/>
        <w:szCs w:val="20"/>
      </w:rPr>
      <w:instrText xml:space="preserve"> PAGE   \* MERGEFORMAT </w:instrText>
    </w:r>
    <w:r w:rsidRPr="00C54374">
      <w:rPr>
        <w:rFonts w:ascii="Arial" w:hAnsi="Arial" w:cs="Arial"/>
        <w:caps/>
        <w:color w:val="4472C4" w:themeColor="accent1"/>
        <w:sz w:val="20"/>
        <w:szCs w:val="20"/>
      </w:rPr>
      <w:fldChar w:fldCharType="separate"/>
    </w:r>
    <w:r w:rsidR="00600340">
      <w:rPr>
        <w:rFonts w:ascii="Arial" w:hAnsi="Arial" w:cs="Arial"/>
        <w:caps/>
        <w:noProof/>
        <w:color w:val="4472C4" w:themeColor="accent1"/>
        <w:sz w:val="20"/>
        <w:szCs w:val="20"/>
      </w:rPr>
      <w:t>3</w:t>
    </w:r>
    <w:r w:rsidRPr="00C54374">
      <w:rPr>
        <w:rFonts w:ascii="Arial" w:hAnsi="Arial" w:cs="Arial"/>
        <w:caps/>
        <w:noProof/>
        <w:color w:val="4472C4" w:themeColor="accent1"/>
        <w:sz w:val="20"/>
        <w:szCs w:val="20"/>
      </w:rPr>
      <w:fldChar w:fldCharType="end"/>
    </w:r>
  </w:p>
  <w:p w14:paraId="3E5CD2D4" w14:textId="77777777" w:rsidR="00C54374" w:rsidRDefault="00C543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9E97B" w14:textId="77777777" w:rsidR="00705BCA" w:rsidRDefault="00705BCA" w:rsidP="00C54374">
      <w:r>
        <w:separator/>
      </w:r>
    </w:p>
  </w:footnote>
  <w:footnote w:type="continuationSeparator" w:id="0">
    <w:p w14:paraId="306B2ADD" w14:textId="77777777" w:rsidR="00705BCA" w:rsidRDefault="00705BCA" w:rsidP="00C543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374"/>
    <w:rsid w:val="00006BB2"/>
    <w:rsid w:val="00007660"/>
    <w:rsid w:val="00017DA2"/>
    <w:rsid w:val="00022DCA"/>
    <w:rsid w:val="0002411D"/>
    <w:rsid w:val="00024B98"/>
    <w:rsid w:val="00026191"/>
    <w:rsid w:val="00027F89"/>
    <w:rsid w:val="00027FC1"/>
    <w:rsid w:val="00031A2A"/>
    <w:rsid w:val="00036CAD"/>
    <w:rsid w:val="000421CF"/>
    <w:rsid w:val="00044D69"/>
    <w:rsid w:val="000604D8"/>
    <w:rsid w:val="0006136E"/>
    <w:rsid w:val="0006161F"/>
    <w:rsid w:val="000616D9"/>
    <w:rsid w:val="00086C05"/>
    <w:rsid w:val="000A076F"/>
    <w:rsid w:val="000A4833"/>
    <w:rsid w:val="000C101E"/>
    <w:rsid w:val="000C3167"/>
    <w:rsid w:val="000C678D"/>
    <w:rsid w:val="000D52D4"/>
    <w:rsid w:val="000D677F"/>
    <w:rsid w:val="000D6A88"/>
    <w:rsid w:val="000E1169"/>
    <w:rsid w:val="000E641C"/>
    <w:rsid w:val="000F7976"/>
    <w:rsid w:val="00101D9E"/>
    <w:rsid w:val="001114EA"/>
    <w:rsid w:val="00115079"/>
    <w:rsid w:val="00123E41"/>
    <w:rsid w:val="00125E22"/>
    <w:rsid w:val="00132948"/>
    <w:rsid w:val="0014703D"/>
    <w:rsid w:val="00152198"/>
    <w:rsid w:val="00154570"/>
    <w:rsid w:val="00162047"/>
    <w:rsid w:val="00163E75"/>
    <w:rsid w:val="0018292B"/>
    <w:rsid w:val="0019398A"/>
    <w:rsid w:val="001A57F9"/>
    <w:rsid w:val="001A5E70"/>
    <w:rsid w:val="001A617B"/>
    <w:rsid w:val="001B3A4F"/>
    <w:rsid w:val="001C20B4"/>
    <w:rsid w:val="001E1A86"/>
    <w:rsid w:val="001E5189"/>
    <w:rsid w:val="001F0F23"/>
    <w:rsid w:val="001F4E80"/>
    <w:rsid w:val="002008F7"/>
    <w:rsid w:val="00206AD0"/>
    <w:rsid w:val="00212303"/>
    <w:rsid w:val="002134CE"/>
    <w:rsid w:val="00213CF0"/>
    <w:rsid w:val="00222AB9"/>
    <w:rsid w:val="00230234"/>
    <w:rsid w:val="002315A8"/>
    <w:rsid w:val="0023263A"/>
    <w:rsid w:val="00236B88"/>
    <w:rsid w:val="002456A1"/>
    <w:rsid w:val="00261039"/>
    <w:rsid w:val="00261D1F"/>
    <w:rsid w:val="002672A8"/>
    <w:rsid w:val="00292EAF"/>
    <w:rsid w:val="00293E92"/>
    <w:rsid w:val="00296F50"/>
    <w:rsid w:val="002B25ED"/>
    <w:rsid w:val="002B7F27"/>
    <w:rsid w:val="002C22B9"/>
    <w:rsid w:val="002C22DF"/>
    <w:rsid w:val="002D04DC"/>
    <w:rsid w:val="002E6495"/>
    <w:rsid w:val="00300526"/>
    <w:rsid w:val="00306EA4"/>
    <w:rsid w:val="00312AB5"/>
    <w:rsid w:val="003211FE"/>
    <w:rsid w:val="00325283"/>
    <w:rsid w:val="003415EB"/>
    <w:rsid w:val="0035104A"/>
    <w:rsid w:val="0035520A"/>
    <w:rsid w:val="00363187"/>
    <w:rsid w:val="0037073A"/>
    <w:rsid w:val="00382B7F"/>
    <w:rsid w:val="0038530F"/>
    <w:rsid w:val="003901A6"/>
    <w:rsid w:val="003A2808"/>
    <w:rsid w:val="003A4B6C"/>
    <w:rsid w:val="003B4F61"/>
    <w:rsid w:val="003B51A8"/>
    <w:rsid w:val="003B7A10"/>
    <w:rsid w:val="003D1307"/>
    <w:rsid w:val="003D2019"/>
    <w:rsid w:val="003D4F57"/>
    <w:rsid w:val="003D6E47"/>
    <w:rsid w:val="003E0567"/>
    <w:rsid w:val="003E6281"/>
    <w:rsid w:val="003F0AB3"/>
    <w:rsid w:val="003F14EE"/>
    <w:rsid w:val="003F2F76"/>
    <w:rsid w:val="003F41C4"/>
    <w:rsid w:val="00401010"/>
    <w:rsid w:val="004075EC"/>
    <w:rsid w:val="004116C7"/>
    <w:rsid w:val="00413456"/>
    <w:rsid w:val="00414F73"/>
    <w:rsid w:val="00433716"/>
    <w:rsid w:val="00437282"/>
    <w:rsid w:val="004379DF"/>
    <w:rsid w:val="004463AF"/>
    <w:rsid w:val="00454034"/>
    <w:rsid w:val="004561E5"/>
    <w:rsid w:val="004607CC"/>
    <w:rsid w:val="00463013"/>
    <w:rsid w:val="004701ED"/>
    <w:rsid w:val="004758A5"/>
    <w:rsid w:val="0047643E"/>
    <w:rsid w:val="004801D1"/>
    <w:rsid w:val="00480659"/>
    <w:rsid w:val="00486858"/>
    <w:rsid w:val="00496DBF"/>
    <w:rsid w:val="00497D3B"/>
    <w:rsid w:val="004A7002"/>
    <w:rsid w:val="004C54F6"/>
    <w:rsid w:val="004D55F8"/>
    <w:rsid w:val="004E4628"/>
    <w:rsid w:val="00507BEB"/>
    <w:rsid w:val="005129DB"/>
    <w:rsid w:val="00526987"/>
    <w:rsid w:val="00534B82"/>
    <w:rsid w:val="005357D6"/>
    <w:rsid w:val="00563E0B"/>
    <w:rsid w:val="00564BB2"/>
    <w:rsid w:val="005A1444"/>
    <w:rsid w:val="005B1423"/>
    <w:rsid w:val="005C3135"/>
    <w:rsid w:val="005C6811"/>
    <w:rsid w:val="005D0A6B"/>
    <w:rsid w:val="005D3211"/>
    <w:rsid w:val="005D5732"/>
    <w:rsid w:val="005E1910"/>
    <w:rsid w:val="005E37D0"/>
    <w:rsid w:val="005E3B65"/>
    <w:rsid w:val="005E7F26"/>
    <w:rsid w:val="005F165B"/>
    <w:rsid w:val="00600340"/>
    <w:rsid w:val="006039C1"/>
    <w:rsid w:val="00606C14"/>
    <w:rsid w:val="00625B69"/>
    <w:rsid w:val="00630B2F"/>
    <w:rsid w:val="006411D8"/>
    <w:rsid w:val="00643C98"/>
    <w:rsid w:val="006514AB"/>
    <w:rsid w:val="0065239F"/>
    <w:rsid w:val="00654852"/>
    <w:rsid w:val="0065723B"/>
    <w:rsid w:val="0066006A"/>
    <w:rsid w:val="00666C2E"/>
    <w:rsid w:val="0066738B"/>
    <w:rsid w:val="00675241"/>
    <w:rsid w:val="00675CAB"/>
    <w:rsid w:val="00686C52"/>
    <w:rsid w:val="00687F2A"/>
    <w:rsid w:val="00695D78"/>
    <w:rsid w:val="00697B1F"/>
    <w:rsid w:val="006A39FE"/>
    <w:rsid w:val="006D680B"/>
    <w:rsid w:val="006E36D7"/>
    <w:rsid w:val="006F49BB"/>
    <w:rsid w:val="00705A66"/>
    <w:rsid w:val="00705BCA"/>
    <w:rsid w:val="00710AA3"/>
    <w:rsid w:val="0071154B"/>
    <w:rsid w:val="00713BB0"/>
    <w:rsid w:val="007213DA"/>
    <w:rsid w:val="00724CB6"/>
    <w:rsid w:val="007424EB"/>
    <w:rsid w:val="007506FF"/>
    <w:rsid w:val="007513BC"/>
    <w:rsid w:val="0077642D"/>
    <w:rsid w:val="007B454A"/>
    <w:rsid w:val="007B764D"/>
    <w:rsid w:val="007C07FF"/>
    <w:rsid w:val="007C0BB3"/>
    <w:rsid w:val="007C3FFD"/>
    <w:rsid w:val="007D57CB"/>
    <w:rsid w:val="007D6E96"/>
    <w:rsid w:val="007F36D9"/>
    <w:rsid w:val="00814CF5"/>
    <w:rsid w:val="0081507D"/>
    <w:rsid w:val="0081542D"/>
    <w:rsid w:val="00827B52"/>
    <w:rsid w:val="00837725"/>
    <w:rsid w:val="008408D7"/>
    <w:rsid w:val="008416BA"/>
    <w:rsid w:val="00843D2C"/>
    <w:rsid w:val="00845502"/>
    <w:rsid w:val="00847EC2"/>
    <w:rsid w:val="00850C2B"/>
    <w:rsid w:val="0086015A"/>
    <w:rsid w:val="00860606"/>
    <w:rsid w:val="00861AB0"/>
    <w:rsid w:val="00864A43"/>
    <w:rsid w:val="0086734D"/>
    <w:rsid w:val="00873EA1"/>
    <w:rsid w:val="008905B5"/>
    <w:rsid w:val="008C2F85"/>
    <w:rsid w:val="008C35E1"/>
    <w:rsid w:val="008D1D14"/>
    <w:rsid w:val="008F4621"/>
    <w:rsid w:val="00900335"/>
    <w:rsid w:val="00900EEA"/>
    <w:rsid w:val="00902325"/>
    <w:rsid w:val="00903B4C"/>
    <w:rsid w:val="0090426B"/>
    <w:rsid w:val="00925F20"/>
    <w:rsid w:val="00927B88"/>
    <w:rsid w:val="0094049D"/>
    <w:rsid w:val="00973985"/>
    <w:rsid w:val="0098018B"/>
    <w:rsid w:val="009851E1"/>
    <w:rsid w:val="009B2694"/>
    <w:rsid w:val="009C5C2C"/>
    <w:rsid w:val="009D09F0"/>
    <w:rsid w:val="009E4392"/>
    <w:rsid w:val="009F41F7"/>
    <w:rsid w:val="009F7E1A"/>
    <w:rsid w:val="00A012F8"/>
    <w:rsid w:val="00A14B23"/>
    <w:rsid w:val="00A374B7"/>
    <w:rsid w:val="00A413F7"/>
    <w:rsid w:val="00A44493"/>
    <w:rsid w:val="00A62B4F"/>
    <w:rsid w:val="00A75D9D"/>
    <w:rsid w:val="00A77A4E"/>
    <w:rsid w:val="00A81F9D"/>
    <w:rsid w:val="00A913F6"/>
    <w:rsid w:val="00AA5C83"/>
    <w:rsid w:val="00AA7DF6"/>
    <w:rsid w:val="00AB2339"/>
    <w:rsid w:val="00AC7179"/>
    <w:rsid w:val="00AC7C66"/>
    <w:rsid w:val="00AC7FFD"/>
    <w:rsid w:val="00AF1163"/>
    <w:rsid w:val="00AF6892"/>
    <w:rsid w:val="00B03E79"/>
    <w:rsid w:val="00B11D76"/>
    <w:rsid w:val="00B1394A"/>
    <w:rsid w:val="00B157AE"/>
    <w:rsid w:val="00B16425"/>
    <w:rsid w:val="00B3205D"/>
    <w:rsid w:val="00B40E3B"/>
    <w:rsid w:val="00B4156D"/>
    <w:rsid w:val="00B439A5"/>
    <w:rsid w:val="00B516D9"/>
    <w:rsid w:val="00B54080"/>
    <w:rsid w:val="00B715A1"/>
    <w:rsid w:val="00B74C20"/>
    <w:rsid w:val="00B9130E"/>
    <w:rsid w:val="00B94235"/>
    <w:rsid w:val="00BA2D60"/>
    <w:rsid w:val="00BA61B0"/>
    <w:rsid w:val="00BA6735"/>
    <w:rsid w:val="00BC4083"/>
    <w:rsid w:val="00BD6D4A"/>
    <w:rsid w:val="00BE0F77"/>
    <w:rsid w:val="00BE2C12"/>
    <w:rsid w:val="00C00466"/>
    <w:rsid w:val="00C01E7A"/>
    <w:rsid w:val="00C058C1"/>
    <w:rsid w:val="00C05BD5"/>
    <w:rsid w:val="00C07373"/>
    <w:rsid w:val="00C238F7"/>
    <w:rsid w:val="00C321D4"/>
    <w:rsid w:val="00C3752C"/>
    <w:rsid w:val="00C40D46"/>
    <w:rsid w:val="00C40FC4"/>
    <w:rsid w:val="00C450E2"/>
    <w:rsid w:val="00C535CD"/>
    <w:rsid w:val="00C54374"/>
    <w:rsid w:val="00C55C8F"/>
    <w:rsid w:val="00C66C36"/>
    <w:rsid w:val="00C8682B"/>
    <w:rsid w:val="00C94207"/>
    <w:rsid w:val="00C95F71"/>
    <w:rsid w:val="00CA032E"/>
    <w:rsid w:val="00CB5202"/>
    <w:rsid w:val="00CB6D59"/>
    <w:rsid w:val="00CC0DB4"/>
    <w:rsid w:val="00CC4C64"/>
    <w:rsid w:val="00CC65DC"/>
    <w:rsid w:val="00CD3A74"/>
    <w:rsid w:val="00CE713F"/>
    <w:rsid w:val="00CE7644"/>
    <w:rsid w:val="00CF0194"/>
    <w:rsid w:val="00CF0ED5"/>
    <w:rsid w:val="00CF13CF"/>
    <w:rsid w:val="00D11D0E"/>
    <w:rsid w:val="00D341ED"/>
    <w:rsid w:val="00D3438A"/>
    <w:rsid w:val="00D420DF"/>
    <w:rsid w:val="00D4516A"/>
    <w:rsid w:val="00D51951"/>
    <w:rsid w:val="00D538F3"/>
    <w:rsid w:val="00D54D07"/>
    <w:rsid w:val="00D60EC8"/>
    <w:rsid w:val="00D96360"/>
    <w:rsid w:val="00D971D7"/>
    <w:rsid w:val="00DA20A9"/>
    <w:rsid w:val="00DA6F03"/>
    <w:rsid w:val="00DA6F2E"/>
    <w:rsid w:val="00DA7B2A"/>
    <w:rsid w:val="00DA7D2F"/>
    <w:rsid w:val="00DB144A"/>
    <w:rsid w:val="00DB3086"/>
    <w:rsid w:val="00DB3F18"/>
    <w:rsid w:val="00DB43C5"/>
    <w:rsid w:val="00DB5C84"/>
    <w:rsid w:val="00DE35F5"/>
    <w:rsid w:val="00DF633D"/>
    <w:rsid w:val="00E046AE"/>
    <w:rsid w:val="00E076B0"/>
    <w:rsid w:val="00E154A6"/>
    <w:rsid w:val="00E2025D"/>
    <w:rsid w:val="00E402A1"/>
    <w:rsid w:val="00E41A0B"/>
    <w:rsid w:val="00E44D3B"/>
    <w:rsid w:val="00E524D3"/>
    <w:rsid w:val="00E52637"/>
    <w:rsid w:val="00E56588"/>
    <w:rsid w:val="00E600E8"/>
    <w:rsid w:val="00E6199E"/>
    <w:rsid w:val="00E63514"/>
    <w:rsid w:val="00E75EEA"/>
    <w:rsid w:val="00E80441"/>
    <w:rsid w:val="00E81A21"/>
    <w:rsid w:val="00E954A2"/>
    <w:rsid w:val="00EA7C94"/>
    <w:rsid w:val="00EB2C99"/>
    <w:rsid w:val="00EB46DA"/>
    <w:rsid w:val="00EB692E"/>
    <w:rsid w:val="00EC3B6E"/>
    <w:rsid w:val="00ED62B1"/>
    <w:rsid w:val="00F03E10"/>
    <w:rsid w:val="00F27C63"/>
    <w:rsid w:val="00F40BA7"/>
    <w:rsid w:val="00F43F07"/>
    <w:rsid w:val="00F46FF7"/>
    <w:rsid w:val="00F654DE"/>
    <w:rsid w:val="00F66BA6"/>
    <w:rsid w:val="00F7259D"/>
    <w:rsid w:val="00F75A68"/>
    <w:rsid w:val="00F75CBD"/>
    <w:rsid w:val="00F824C3"/>
    <w:rsid w:val="00FA5B2A"/>
    <w:rsid w:val="00FB3AB7"/>
    <w:rsid w:val="00FB5E46"/>
    <w:rsid w:val="00FC0A26"/>
    <w:rsid w:val="00FD69B6"/>
    <w:rsid w:val="00FE1549"/>
    <w:rsid w:val="00FF052B"/>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D05BB"/>
  <w15:chartTrackingRefBased/>
  <w15:docId w15:val="{6A2A79AA-82E4-4D5A-B560-CC33F99A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374"/>
    <w:rPr>
      <w:rFonts w:ascii="Arial Mon" w:eastAsia="Times New Roman" w:hAnsi="Arial Mon"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C54374"/>
    <w:pPr>
      <w:suppressAutoHyphens/>
      <w:autoSpaceDN w:val="0"/>
      <w:spacing w:before="100" w:after="100" w:line="100" w:lineRule="atLeast"/>
      <w:ind w:firstLine="720"/>
      <w:jc w:val="both"/>
      <w:textAlignment w:val="baseline"/>
    </w:pPr>
    <w:rPr>
      <w:rFonts w:ascii="Times New Roman" w:hAnsi="Times New Roman" w:cs="Calibri"/>
      <w:color w:val="00000A"/>
      <w:kern w:val="3"/>
      <w:szCs w:val="20"/>
      <w:lang w:eastAsia="ar-SA"/>
    </w:rPr>
  </w:style>
  <w:style w:type="character" w:customStyle="1" w:styleId="NormalWebChar">
    <w:name w:val="Normal (Web) Char"/>
    <w:link w:val="NormalWeb"/>
    <w:uiPriority w:val="99"/>
    <w:locked/>
    <w:rsid w:val="00C54374"/>
    <w:rPr>
      <w:rFonts w:ascii="Times New Roman" w:eastAsia="Times New Roman" w:hAnsi="Times New Roman" w:cs="Calibri"/>
      <w:color w:val="00000A"/>
      <w:kern w:val="3"/>
      <w:szCs w:val="20"/>
      <w:lang w:eastAsia="ar-SA"/>
    </w:rPr>
  </w:style>
  <w:style w:type="paragraph" w:styleId="NoSpacing">
    <w:name w:val="No Spacing"/>
    <w:uiPriority w:val="1"/>
    <w:qFormat/>
    <w:rsid w:val="00C54374"/>
    <w:rPr>
      <w:rFonts w:ascii="Arial Mon" w:eastAsia="Times New Roman" w:hAnsi="Arial Mon" w:cs="Times New Roman"/>
      <w:szCs w:val="24"/>
      <w:lang w:eastAsia="en-US"/>
    </w:rPr>
  </w:style>
  <w:style w:type="character" w:customStyle="1" w:styleId="normaltextrun">
    <w:name w:val="normaltextrun"/>
    <w:basedOn w:val="DefaultParagraphFont"/>
    <w:rsid w:val="00C54374"/>
  </w:style>
  <w:style w:type="paragraph" w:customStyle="1" w:styleId="paragraph">
    <w:name w:val="paragraph"/>
    <w:basedOn w:val="Normal"/>
    <w:rsid w:val="00C54374"/>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C54374"/>
    <w:pPr>
      <w:tabs>
        <w:tab w:val="center" w:pos="4680"/>
        <w:tab w:val="right" w:pos="9360"/>
      </w:tabs>
    </w:pPr>
  </w:style>
  <w:style w:type="character" w:customStyle="1" w:styleId="HeaderChar">
    <w:name w:val="Header Char"/>
    <w:basedOn w:val="DefaultParagraphFont"/>
    <w:link w:val="Header"/>
    <w:uiPriority w:val="99"/>
    <w:rsid w:val="00C54374"/>
    <w:rPr>
      <w:rFonts w:ascii="Arial Mon" w:eastAsia="Times New Roman" w:hAnsi="Arial Mon" w:cs="Times New Roman"/>
      <w:szCs w:val="24"/>
      <w:lang w:eastAsia="en-US"/>
    </w:rPr>
  </w:style>
  <w:style w:type="paragraph" w:styleId="Footer">
    <w:name w:val="footer"/>
    <w:basedOn w:val="Normal"/>
    <w:link w:val="FooterChar"/>
    <w:uiPriority w:val="99"/>
    <w:unhideWhenUsed/>
    <w:rsid w:val="00C54374"/>
    <w:pPr>
      <w:tabs>
        <w:tab w:val="center" w:pos="4680"/>
        <w:tab w:val="right" w:pos="9360"/>
      </w:tabs>
    </w:pPr>
  </w:style>
  <w:style w:type="character" w:customStyle="1" w:styleId="FooterChar">
    <w:name w:val="Footer Char"/>
    <w:basedOn w:val="DefaultParagraphFont"/>
    <w:link w:val="Footer"/>
    <w:uiPriority w:val="99"/>
    <w:rsid w:val="00C54374"/>
    <w:rPr>
      <w:rFonts w:ascii="Arial Mon" w:eastAsia="Times New Roman" w:hAnsi="Arial Mon"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Сарнай Нармандах</dc:creator>
  <cp:keywords/>
  <dc:description/>
  <cp:lastModifiedBy>Нарантунгалаг Төмөрхуяг</cp:lastModifiedBy>
  <cp:revision>2</cp:revision>
  <cp:lastPrinted>2026-07-07T09:10:00Z</cp:lastPrinted>
  <dcterms:created xsi:type="dcterms:W3CDTF">2026-08-01T09:55:00Z</dcterms:created>
  <dcterms:modified xsi:type="dcterms:W3CDTF">2026-08-01T09:55:00Z</dcterms:modified>
</cp:coreProperties>
</file>