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A93DD" w14:textId="77777777" w:rsidR="005E5984" w:rsidRPr="00DE74A6" w:rsidRDefault="005E5984" w:rsidP="005E5984">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034DD5C6" wp14:editId="5C0EB756">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2C9760C6" w14:textId="77777777" w:rsidR="005E5984" w:rsidRPr="00DE74A6" w:rsidRDefault="005E5984" w:rsidP="005E5984">
      <w:pPr>
        <w:pStyle w:val="Title"/>
        <w:ind w:left="-142" w:right="-360"/>
        <w:rPr>
          <w:rFonts w:ascii="Arial" w:hAnsi="Arial" w:cs="Arial"/>
          <w:sz w:val="40"/>
          <w:szCs w:val="40"/>
        </w:rPr>
      </w:pPr>
    </w:p>
    <w:p w14:paraId="46685D74" w14:textId="77777777" w:rsidR="005E5984" w:rsidRPr="00DE74A6" w:rsidRDefault="005E5984" w:rsidP="005E5984">
      <w:pPr>
        <w:pStyle w:val="Title"/>
        <w:ind w:left="-142"/>
        <w:rPr>
          <w:rFonts w:ascii="Arial" w:hAnsi="Arial" w:cs="Arial"/>
          <w:sz w:val="32"/>
          <w:szCs w:val="32"/>
        </w:rPr>
      </w:pPr>
    </w:p>
    <w:p w14:paraId="2CD5F698" w14:textId="77777777" w:rsidR="005E5984" w:rsidRPr="00B56EE4" w:rsidRDefault="005E5984" w:rsidP="005E5984">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2761FBB0" w14:textId="77777777" w:rsidR="005E5984" w:rsidRDefault="005E5984" w:rsidP="005E5984">
      <w:pPr>
        <w:pStyle w:val="Heading1"/>
        <w:spacing w:before="0" w:after="0"/>
        <w:jc w:val="center"/>
        <w:rPr>
          <w:rFonts w:ascii="Times New Roman" w:hAnsi="Times New Roman"/>
          <w:b w:val="0"/>
          <w:bCs w:val="0"/>
          <w:color w:val="3366FF"/>
        </w:rPr>
      </w:pPr>
      <w:bookmarkStart w:id="0" w:name="_h06h22z21kh1"/>
      <w:bookmarkEnd w:id="0"/>
      <w:r w:rsidRPr="00B56EE4">
        <w:rPr>
          <w:rFonts w:ascii="Times New Roman" w:hAnsi="Times New Roman"/>
          <w:color w:val="3366FF"/>
        </w:rPr>
        <w:t>ТОГТООЛ</w:t>
      </w:r>
    </w:p>
    <w:p w14:paraId="750159F0" w14:textId="77777777" w:rsidR="005E5984" w:rsidRPr="005F1003" w:rsidRDefault="005E5984" w:rsidP="005E5984">
      <w:pPr>
        <w:rPr>
          <w:lang w:val="ms-MY"/>
        </w:rPr>
      </w:pPr>
    </w:p>
    <w:p w14:paraId="4FE44592" w14:textId="1E4099C7" w:rsidR="005E5984" w:rsidRPr="00DE74A6" w:rsidRDefault="005E5984" w:rsidP="005E5984">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DE74A6">
        <w:rPr>
          <w:rFonts w:ascii="Arial" w:hAnsi="Arial" w:cs="Arial"/>
          <w:color w:val="3366FF"/>
          <w:sz w:val="20"/>
          <w:szCs w:val="20"/>
          <w:lang w:val="ms-MY"/>
        </w:rPr>
        <w:t xml:space="preserve"> оны </w:t>
      </w:r>
      <w:r>
        <w:rPr>
          <w:rFonts w:ascii="Arial" w:hAnsi="Arial" w:cs="Arial"/>
          <w:color w:val="3366FF"/>
          <w:sz w:val="20"/>
          <w:szCs w:val="20"/>
          <w:u w:val="single"/>
        </w:rPr>
        <w:t>12</w:t>
      </w:r>
      <w:r w:rsidRPr="00DE74A6">
        <w:rPr>
          <w:rFonts w:ascii="Arial" w:hAnsi="Arial" w:cs="Arial"/>
          <w:color w:val="3366FF"/>
          <w:sz w:val="20"/>
          <w:szCs w:val="20"/>
          <w:lang w:val="ms-MY"/>
        </w:rPr>
        <w:t xml:space="preserve"> сарын </w:t>
      </w:r>
      <w:r>
        <w:rPr>
          <w:rFonts w:ascii="Arial" w:hAnsi="Arial" w:cs="Arial"/>
          <w:color w:val="3366FF"/>
          <w:sz w:val="20"/>
          <w:szCs w:val="20"/>
          <w:u w:val="single"/>
        </w:rPr>
        <w:t>0</w:t>
      </w:r>
      <w:r>
        <w:rPr>
          <w:rFonts w:ascii="Arial" w:hAnsi="Arial" w:cs="Arial"/>
          <w:color w:val="3366FF"/>
          <w:sz w:val="20"/>
          <w:szCs w:val="20"/>
          <w:u w:val="single"/>
        </w:rPr>
        <w:t>9</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7</w:t>
      </w:r>
      <w:r>
        <w:rPr>
          <w:rFonts w:ascii="Arial" w:hAnsi="Arial" w:cs="Arial"/>
          <w:color w:val="3366FF"/>
          <w:sz w:val="20"/>
          <w:szCs w:val="20"/>
          <w:u w:val="single"/>
        </w:rPr>
        <w:t>7</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1F4C75F5" w14:textId="77777777" w:rsidR="009E43AD" w:rsidRDefault="009E43AD" w:rsidP="005E5984">
      <w:pPr>
        <w:spacing w:after="0" w:line="360" w:lineRule="auto"/>
        <w:rPr>
          <w:rFonts w:ascii="Arial" w:hAnsi="Arial" w:cs="Arial"/>
          <w:b/>
          <w:bCs/>
          <w:lang w:val="mn-MN"/>
        </w:rPr>
      </w:pPr>
    </w:p>
    <w:p w14:paraId="5355EB2E" w14:textId="77777777" w:rsidR="009E43AD" w:rsidRPr="00875437" w:rsidRDefault="009E43AD" w:rsidP="009E43AD">
      <w:pPr>
        <w:spacing w:after="0" w:line="240" w:lineRule="auto"/>
        <w:jc w:val="center"/>
        <w:rPr>
          <w:rFonts w:ascii="Arial" w:hAnsi="Arial" w:cs="Arial"/>
          <w:b/>
          <w:bCs/>
          <w:lang w:val="mn-MN"/>
        </w:rPr>
      </w:pPr>
      <w:r>
        <w:rPr>
          <w:rFonts w:ascii="Arial" w:hAnsi="Arial" w:cs="Arial"/>
          <w:b/>
          <w:bCs/>
          <w:lang w:val="mn-MN"/>
        </w:rPr>
        <w:t xml:space="preserve">    </w:t>
      </w:r>
      <w:r w:rsidRPr="00875437">
        <w:rPr>
          <w:rFonts w:ascii="Arial" w:hAnsi="Arial" w:cs="Arial"/>
          <w:b/>
          <w:bCs/>
          <w:lang w:val="mn-MN"/>
        </w:rPr>
        <w:t>Хууль баталсантай холбогдуулан авах</w:t>
      </w:r>
    </w:p>
    <w:p w14:paraId="222C1FE0" w14:textId="77777777" w:rsidR="009E43AD" w:rsidRPr="00875437" w:rsidRDefault="009E43AD" w:rsidP="009E43AD">
      <w:pPr>
        <w:spacing w:after="0" w:line="240" w:lineRule="auto"/>
        <w:contextualSpacing/>
        <w:jc w:val="center"/>
        <w:rPr>
          <w:rFonts w:ascii="Arial" w:hAnsi="Arial" w:cs="Arial"/>
          <w:b/>
          <w:bCs/>
          <w:lang w:val="mn-MN"/>
        </w:rPr>
      </w:pPr>
      <w:r w:rsidRPr="00875437">
        <w:rPr>
          <w:rFonts w:ascii="Arial" w:hAnsi="Arial" w:cs="Arial"/>
          <w:b/>
          <w:bCs/>
          <w:lang w:val="mn-MN"/>
        </w:rPr>
        <w:t xml:space="preserve">    зарим арга хэмжээний тухай</w:t>
      </w:r>
    </w:p>
    <w:p w14:paraId="11CF97E3" w14:textId="77777777" w:rsidR="009E43AD" w:rsidRPr="00875437" w:rsidRDefault="009E43AD" w:rsidP="009E43AD">
      <w:pPr>
        <w:spacing w:after="0" w:line="360" w:lineRule="auto"/>
        <w:jc w:val="center"/>
        <w:rPr>
          <w:rFonts w:ascii="Arial" w:eastAsia="Times New Roman" w:hAnsi="Arial" w:cs="Arial"/>
          <w:b/>
          <w:bCs/>
          <w:lang w:val="mn-MN"/>
        </w:rPr>
      </w:pPr>
    </w:p>
    <w:p w14:paraId="6402AC31" w14:textId="77777777" w:rsidR="009E43AD" w:rsidRPr="00875437" w:rsidRDefault="009E43AD" w:rsidP="009E43AD">
      <w:pPr>
        <w:spacing w:after="0" w:line="240" w:lineRule="auto"/>
        <w:ind w:firstLine="720"/>
        <w:jc w:val="both"/>
        <w:rPr>
          <w:rFonts w:ascii="Arial" w:eastAsia="Times New Roman" w:hAnsi="Arial" w:cs="Arial"/>
          <w:lang w:val="mn-MN"/>
        </w:rPr>
      </w:pPr>
      <w:r w:rsidRPr="00875437">
        <w:rPr>
          <w:rFonts w:ascii="Arial" w:eastAsia="Times New Roman" w:hAnsi="Arial" w:cs="Arial"/>
          <w:lang w:val="mn-MN"/>
        </w:rPr>
        <w:t>Монгол Улсын Их Хурлын тухай хуулийн 5 дугаар зүйлийн 5.1 дэх хэсэг, Монгол Улсын Их Хурлын чуулганы хур</w:t>
      </w:r>
      <w:r>
        <w:rPr>
          <w:rFonts w:ascii="Arial" w:eastAsia="Times New Roman" w:hAnsi="Arial" w:cs="Arial"/>
          <w:lang w:val="mn-MN"/>
        </w:rPr>
        <w:t xml:space="preserve">алдааны дэгийн тухай хуулийн 44 </w:t>
      </w:r>
      <w:r w:rsidRPr="00875437">
        <w:rPr>
          <w:rFonts w:ascii="Arial" w:eastAsia="Times New Roman" w:hAnsi="Arial" w:cs="Arial"/>
          <w:lang w:val="mn-MN"/>
        </w:rPr>
        <w:t>дүгээр зүйлийн 44.5 дахь хэсгийг үндэслэн Монгол Улсын Их Хурлаас ТОГТООХ нь:</w:t>
      </w:r>
    </w:p>
    <w:p w14:paraId="5594ADA4" w14:textId="77777777" w:rsidR="009E43AD" w:rsidRPr="00875437" w:rsidRDefault="009E43AD" w:rsidP="009E43AD">
      <w:pPr>
        <w:spacing w:after="0" w:line="240" w:lineRule="auto"/>
        <w:ind w:firstLine="720"/>
        <w:jc w:val="both"/>
        <w:rPr>
          <w:rFonts w:ascii="Arial" w:eastAsia="Times New Roman" w:hAnsi="Arial" w:cs="Arial"/>
          <w:lang w:val="mn-MN"/>
        </w:rPr>
      </w:pPr>
    </w:p>
    <w:p w14:paraId="43D63E40" w14:textId="77777777" w:rsidR="009E43AD" w:rsidRPr="00875437" w:rsidRDefault="009E43AD" w:rsidP="009E43AD">
      <w:pPr>
        <w:spacing w:after="0" w:line="240" w:lineRule="auto"/>
        <w:ind w:firstLine="720"/>
        <w:jc w:val="both"/>
        <w:rPr>
          <w:rFonts w:ascii="Arial" w:eastAsia="Times New Roman" w:hAnsi="Arial" w:cs="Arial"/>
          <w:lang w:val="mn-MN"/>
        </w:rPr>
      </w:pPr>
      <w:r w:rsidRPr="00875437">
        <w:rPr>
          <w:rFonts w:ascii="Arial" w:eastAsia="Times New Roman" w:hAnsi="Arial" w:cs="Arial"/>
          <w:lang w:val="mn-MN"/>
        </w:rPr>
        <w:t>1.Төр, хувийн хэвшлийн түншлэлийн тухай хууль баталсантай</w:t>
      </w:r>
      <w:r w:rsidRPr="00875437">
        <w:rPr>
          <w:rFonts w:ascii="Arial" w:eastAsia="Times New Roman" w:hAnsi="Arial" w:cs="Arial"/>
          <w:i/>
          <w:iCs/>
          <w:lang w:val="mn-MN"/>
        </w:rPr>
        <w:t xml:space="preserve"> </w:t>
      </w:r>
      <w:r w:rsidRPr="00875437">
        <w:rPr>
          <w:rFonts w:ascii="Arial" w:eastAsia="Times New Roman" w:hAnsi="Arial" w:cs="Arial"/>
          <w:lang w:val="mn-MN"/>
        </w:rPr>
        <w:t>холбогдуулан дараах арга хэмжээг авч хэрэгжүүлэхийг Монгол Улсын Засгийн газар</w:t>
      </w:r>
      <w:r>
        <w:rPr>
          <w:rFonts w:ascii="Arial" w:eastAsia="Times New Roman" w:hAnsi="Arial" w:cs="Arial"/>
          <w:lang w:val="mn-MN"/>
        </w:rPr>
        <w:t xml:space="preserve"> </w:t>
      </w:r>
      <w:r w:rsidRPr="00875437">
        <w:rPr>
          <w:rFonts w:ascii="Arial" w:eastAsia="Times New Roman" w:hAnsi="Arial" w:cs="Arial"/>
          <w:lang w:val="mn-MN"/>
        </w:rPr>
        <w:t>/Л.Оюун-Эрдэнэ/-т даалгасугай:</w:t>
      </w:r>
    </w:p>
    <w:p w14:paraId="0D1EF6A5" w14:textId="77777777" w:rsidR="009E43AD" w:rsidRPr="00875437" w:rsidRDefault="009E43AD" w:rsidP="009E43AD">
      <w:pPr>
        <w:spacing w:after="0" w:line="240" w:lineRule="auto"/>
        <w:ind w:firstLine="720"/>
        <w:jc w:val="both"/>
        <w:rPr>
          <w:rFonts w:ascii="Arial" w:eastAsia="Times New Roman" w:hAnsi="Arial" w:cs="Arial"/>
          <w:lang w:val="mn-MN"/>
        </w:rPr>
      </w:pPr>
    </w:p>
    <w:p w14:paraId="77E8BFCD" w14:textId="77777777" w:rsidR="009E43AD" w:rsidRPr="00875437" w:rsidRDefault="009E43AD" w:rsidP="009E43AD">
      <w:pPr>
        <w:spacing w:after="0" w:line="240" w:lineRule="auto"/>
        <w:ind w:firstLine="1440"/>
        <w:jc w:val="both"/>
        <w:rPr>
          <w:rFonts w:ascii="Arial" w:eastAsia="Times New Roman" w:hAnsi="Arial" w:cs="Arial"/>
          <w:lang w:val="mn-MN"/>
        </w:rPr>
      </w:pPr>
      <w:r w:rsidRPr="00875437">
        <w:rPr>
          <w:rFonts w:ascii="Arial" w:eastAsia="Times New Roman" w:hAnsi="Arial" w:cs="Arial"/>
          <w:lang w:val="mn-MN"/>
        </w:rPr>
        <w:t>1/Төр, хувийн хэвшлийн түншлэлийн тухай хуулийн 12 дугаар зүйлд заасан Төр, хувийн хэвшлийн түншлэлийн төвийн дүрэм, зохион байгуулалтын бүтэц, орон тоог баталж, хэрэгжилтийг хангуулах арга хэмжээг 2023 оны 3 дугаар улиралд багтаан хэрэгжүүлэх;</w:t>
      </w:r>
    </w:p>
    <w:p w14:paraId="37130D97" w14:textId="77777777" w:rsidR="009E43AD" w:rsidRPr="00875437" w:rsidRDefault="009E43AD" w:rsidP="009E43AD">
      <w:pPr>
        <w:spacing w:after="0" w:line="240" w:lineRule="auto"/>
        <w:ind w:firstLine="720"/>
        <w:jc w:val="both"/>
        <w:rPr>
          <w:rFonts w:ascii="Arial" w:eastAsia="Times New Roman" w:hAnsi="Arial" w:cs="Arial"/>
          <w:lang w:val="mn-MN"/>
        </w:rPr>
      </w:pPr>
    </w:p>
    <w:p w14:paraId="70FD25E8" w14:textId="77777777" w:rsidR="009E43AD" w:rsidRPr="00875437" w:rsidRDefault="009E43AD" w:rsidP="009E43AD">
      <w:pPr>
        <w:spacing w:after="0" w:line="240" w:lineRule="auto"/>
        <w:ind w:firstLine="1440"/>
        <w:jc w:val="both"/>
        <w:rPr>
          <w:rFonts w:ascii="Arial" w:eastAsia="Times New Roman" w:hAnsi="Arial" w:cs="Arial"/>
          <w:b/>
          <w:bCs/>
          <w:strike/>
          <w:u w:val="single"/>
          <w:lang w:val="mn-MN"/>
        </w:rPr>
      </w:pPr>
      <w:r w:rsidRPr="00875437">
        <w:rPr>
          <w:rFonts w:ascii="Arial" w:eastAsia="Times New Roman" w:hAnsi="Arial" w:cs="Arial"/>
          <w:lang w:val="mn-MN"/>
        </w:rPr>
        <w:t>2/Тус хуульд заасан дүрэм, журам, аргачлал, холбогдох бусад баримт бичгийг</w:t>
      </w:r>
      <w:r w:rsidRPr="00875437">
        <w:rPr>
          <w:rFonts w:ascii="Arial" w:eastAsia="Times New Roman" w:hAnsi="Arial" w:cs="Arial"/>
          <w:b/>
          <w:bCs/>
          <w:i/>
          <w:iCs/>
          <w:lang w:val="mn-MN"/>
        </w:rPr>
        <w:t xml:space="preserve"> </w:t>
      </w:r>
      <w:r w:rsidRPr="00875437">
        <w:rPr>
          <w:rFonts w:ascii="Arial" w:eastAsia="Times New Roman" w:hAnsi="Arial" w:cs="Arial"/>
          <w:lang w:val="mn-MN"/>
        </w:rPr>
        <w:t>шинээр боловсруулах, хүчин төгөлдөр мөрдөж буй төр, хувийн хэвшлийн түншлэлийн асуудалд хамаарах дүрэм, журам, аргачлал, холбогдох бусад эрх зүйн актуудыг Төр, хувийн хэвшлийн түншлэлийн тухай хуульд нийцүүлэн өөрчлөх, шинээр боловсруулах ажлыг энэ тогтоол хүчин төгөлдөр болсноос хойш 6 сарын хугацаанд багтаан зохион байгуулж, хэрэгжүүлэх.</w:t>
      </w:r>
    </w:p>
    <w:p w14:paraId="3AA41D22" w14:textId="77777777" w:rsidR="009E43AD" w:rsidRPr="00875437" w:rsidRDefault="009E43AD" w:rsidP="009E43AD">
      <w:pPr>
        <w:spacing w:after="0" w:line="240" w:lineRule="auto"/>
        <w:ind w:firstLine="720"/>
        <w:jc w:val="both"/>
        <w:rPr>
          <w:rFonts w:ascii="Arial" w:eastAsia="Times New Roman" w:hAnsi="Arial" w:cs="Arial"/>
          <w:lang w:val="mn-MN"/>
        </w:rPr>
      </w:pPr>
    </w:p>
    <w:p w14:paraId="44FE71E6" w14:textId="77777777" w:rsidR="009E43AD" w:rsidRPr="00875437" w:rsidRDefault="009E43AD" w:rsidP="009E43AD">
      <w:pPr>
        <w:spacing w:after="0" w:line="240" w:lineRule="auto"/>
        <w:ind w:firstLine="709"/>
        <w:jc w:val="both"/>
        <w:rPr>
          <w:rFonts w:ascii="Arial" w:eastAsia="Times New Roman" w:hAnsi="Arial" w:cs="Arial"/>
          <w:lang w:val="mn-MN"/>
        </w:rPr>
      </w:pPr>
      <w:r w:rsidRPr="00875437">
        <w:rPr>
          <w:rFonts w:ascii="Arial" w:eastAsia="Times New Roman" w:hAnsi="Arial" w:cs="Arial"/>
          <w:lang w:val="mn-MN"/>
        </w:rPr>
        <w:t>2.Мон</w:t>
      </w:r>
      <w:r>
        <w:rPr>
          <w:rFonts w:ascii="Arial" w:eastAsia="Times New Roman" w:hAnsi="Arial" w:cs="Arial"/>
          <w:lang w:val="mn-MN"/>
        </w:rPr>
        <w:t xml:space="preserve">гол Улсын Их Хурлын 2021 </w:t>
      </w:r>
      <w:r w:rsidRPr="00875437">
        <w:rPr>
          <w:rFonts w:ascii="Arial" w:eastAsia="Times New Roman" w:hAnsi="Arial" w:cs="Arial"/>
          <w:lang w:val="mn-MN"/>
        </w:rPr>
        <w:t xml:space="preserve">оны 01 дүгээр сарын 22-ны өдрийн “Монгол Улсын хууль тогтоомжийг 2024 он хүртэл боловсронгуй болгох </w:t>
      </w:r>
      <w:r>
        <w:rPr>
          <w:rFonts w:ascii="Arial" w:eastAsia="Times New Roman" w:hAnsi="Arial" w:cs="Arial"/>
          <w:lang w:val="mn-MN"/>
        </w:rPr>
        <w:t xml:space="preserve">үндсэн чиглэл батлах тухай” 12 </w:t>
      </w:r>
      <w:r w:rsidRPr="00875437">
        <w:rPr>
          <w:rFonts w:ascii="Arial" w:eastAsia="Times New Roman" w:hAnsi="Arial" w:cs="Arial"/>
          <w:bCs/>
          <w:iCs/>
          <w:lang w:val="mn-MN"/>
        </w:rPr>
        <w:t xml:space="preserve">дугаар </w:t>
      </w:r>
      <w:r>
        <w:rPr>
          <w:rFonts w:ascii="Arial" w:eastAsia="Times New Roman" w:hAnsi="Arial" w:cs="Arial"/>
          <w:lang w:val="mn-MN"/>
        </w:rPr>
        <w:t xml:space="preserve">тогтоолын хавсралтын </w:t>
      </w:r>
      <w:r w:rsidRPr="00875437">
        <w:rPr>
          <w:rFonts w:ascii="Arial" w:eastAsia="Times New Roman" w:hAnsi="Arial" w:cs="Arial"/>
          <w:lang w:val="mn-MN"/>
        </w:rPr>
        <w:t>1.3-т Монгол Улсын сайд, Засгийн газрын Хэрэг эрхлэх газрын даргын эрхлэх асуудлын хүрээнд гэсэн жагсаалтын 17-д заасан “Хувийн хэвшлийн санхүүгийн санаачилгыг дэмжих тухай” гэснийг, мөн жагсаалтын 25-д заасан “Концессын тухай /Шинэчилсэн найруулга/” гэснийг тус тус хүчингүй болсонд тооцсугай.</w:t>
      </w:r>
    </w:p>
    <w:p w14:paraId="70646882" w14:textId="77777777" w:rsidR="009E43AD" w:rsidRPr="00875437" w:rsidRDefault="009E43AD" w:rsidP="009E43AD">
      <w:pPr>
        <w:spacing w:after="0" w:line="240" w:lineRule="auto"/>
        <w:ind w:firstLine="709"/>
        <w:jc w:val="both"/>
        <w:rPr>
          <w:rFonts w:ascii="Arial" w:eastAsia="Times New Roman" w:hAnsi="Arial" w:cs="Arial"/>
          <w:lang w:val="mn-MN"/>
        </w:rPr>
      </w:pPr>
    </w:p>
    <w:p w14:paraId="570A28E7" w14:textId="77777777" w:rsidR="009E43AD" w:rsidRPr="00875437" w:rsidRDefault="009E43AD" w:rsidP="009E43AD">
      <w:pPr>
        <w:spacing w:after="0" w:line="240" w:lineRule="auto"/>
        <w:ind w:firstLine="720"/>
        <w:jc w:val="both"/>
        <w:rPr>
          <w:rFonts w:ascii="Arial" w:eastAsia="Times New Roman" w:hAnsi="Arial" w:cs="Arial"/>
          <w:bCs/>
          <w:lang w:val="mn-MN"/>
        </w:rPr>
      </w:pPr>
      <w:r w:rsidRPr="00875437">
        <w:rPr>
          <w:rFonts w:ascii="Arial" w:eastAsia="Times New Roman" w:hAnsi="Arial" w:cs="Arial"/>
          <w:bCs/>
          <w:lang w:val="mn-MN"/>
        </w:rPr>
        <w:t xml:space="preserve">3.Энэ тогтоолын биелэлтэд хяналт тавьж ажиллахыг Монгол Улсын Их Хурлын Эдийн засгийн байнгын хороо /Ц.Цэрэнпунцаг/-нд даалгасугай. </w:t>
      </w:r>
    </w:p>
    <w:p w14:paraId="3BD0127D" w14:textId="77777777" w:rsidR="009E43AD" w:rsidRPr="00875437" w:rsidRDefault="009E43AD" w:rsidP="009E43AD">
      <w:pPr>
        <w:spacing w:after="0" w:line="240" w:lineRule="auto"/>
        <w:ind w:firstLine="720"/>
        <w:jc w:val="both"/>
        <w:rPr>
          <w:rFonts w:ascii="Arial" w:eastAsia="Times New Roman" w:hAnsi="Arial" w:cs="Arial"/>
          <w:bCs/>
          <w:lang w:val="mn-MN"/>
        </w:rPr>
      </w:pPr>
    </w:p>
    <w:p w14:paraId="386226D1" w14:textId="77777777" w:rsidR="009E43AD" w:rsidRPr="00875437" w:rsidRDefault="009E43AD" w:rsidP="009E43AD">
      <w:pPr>
        <w:spacing w:after="0" w:line="240" w:lineRule="auto"/>
        <w:ind w:firstLine="709"/>
        <w:jc w:val="both"/>
        <w:rPr>
          <w:rFonts w:ascii="Arial" w:eastAsia="Times New Roman" w:hAnsi="Arial" w:cs="Arial"/>
          <w:bCs/>
          <w:color w:val="000000" w:themeColor="text1"/>
          <w:lang w:val="mn-MN"/>
        </w:rPr>
      </w:pPr>
      <w:r w:rsidRPr="00875437">
        <w:rPr>
          <w:rFonts w:ascii="Arial" w:eastAsia="Times New Roman" w:hAnsi="Arial" w:cs="Arial"/>
          <w:bCs/>
          <w:lang w:val="mn-MN"/>
        </w:rPr>
        <w:t xml:space="preserve">4.Энэ тогтоолыг Төр, хувийн хэвшлийн түншлэлийн тухай </w:t>
      </w:r>
      <w:r w:rsidRPr="00875437">
        <w:rPr>
          <w:rFonts w:ascii="Arial" w:eastAsia="Times New Roman" w:hAnsi="Arial" w:cs="Arial"/>
          <w:bCs/>
          <w:color w:val="000000" w:themeColor="text1"/>
          <w:lang w:val="mn-MN"/>
        </w:rPr>
        <w:t>хууль хүчин төгөлдөр болсон өдрөөс эхлэн дагаж мөрдсүгэй.</w:t>
      </w:r>
    </w:p>
    <w:p w14:paraId="2877FEDD" w14:textId="77777777" w:rsidR="009E43AD" w:rsidRPr="00875437" w:rsidRDefault="009E43AD" w:rsidP="009E43AD">
      <w:pPr>
        <w:spacing w:after="0" w:line="240" w:lineRule="auto"/>
        <w:ind w:left="720" w:firstLine="720"/>
        <w:jc w:val="both"/>
        <w:rPr>
          <w:rFonts w:ascii="Arial" w:hAnsi="Arial" w:cs="Arial"/>
          <w:color w:val="000000"/>
          <w:lang w:val="mn-MN" w:eastAsia="en-029"/>
        </w:rPr>
      </w:pPr>
    </w:p>
    <w:p w14:paraId="1E791D15" w14:textId="77777777" w:rsidR="009E43AD" w:rsidRDefault="009E43AD" w:rsidP="009E43AD">
      <w:pPr>
        <w:spacing w:after="0" w:line="240" w:lineRule="auto"/>
        <w:ind w:left="720" w:firstLine="720"/>
        <w:jc w:val="both"/>
        <w:rPr>
          <w:rFonts w:ascii="Arial" w:hAnsi="Arial" w:cs="Arial"/>
          <w:color w:val="000000"/>
          <w:lang w:val="mn-MN" w:eastAsia="en-029"/>
        </w:rPr>
      </w:pPr>
    </w:p>
    <w:p w14:paraId="275D7C55" w14:textId="77777777" w:rsidR="009E43AD" w:rsidRDefault="009E43AD" w:rsidP="009E43AD">
      <w:pPr>
        <w:spacing w:after="0" w:line="240" w:lineRule="auto"/>
        <w:ind w:left="720" w:firstLine="720"/>
        <w:jc w:val="both"/>
        <w:rPr>
          <w:rFonts w:ascii="Arial" w:hAnsi="Arial" w:cs="Arial"/>
          <w:color w:val="000000"/>
          <w:lang w:val="mn-MN" w:eastAsia="en-029"/>
        </w:rPr>
      </w:pPr>
    </w:p>
    <w:p w14:paraId="48778A37" w14:textId="77777777" w:rsidR="009E43AD" w:rsidRDefault="009E43AD" w:rsidP="009E43AD">
      <w:pPr>
        <w:spacing w:after="0" w:line="240" w:lineRule="auto"/>
        <w:ind w:left="720" w:firstLine="720"/>
        <w:jc w:val="both"/>
        <w:rPr>
          <w:rFonts w:ascii="Arial" w:hAnsi="Arial" w:cs="Arial"/>
          <w:color w:val="000000"/>
          <w:lang w:val="mn-MN" w:eastAsia="en-029"/>
        </w:rPr>
      </w:pPr>
    </w:p>
    <w:p w14:paraId="2CFE48CE" w14:textId="77777777" w:rsidR="009E43AD" w:rsidRPr="00875437" w:rsidRDefault="009E43AD" w:rsidP="009E43AD">
      <w:pPr>
        <w:spacing w:after="0" w:line="240" w:lineRule="auto"/>
        <w:ind w:left="720" w:firstLine="720"/>
        <w:jc w:val="both"/>
        <w:rPr>
          <w:rFonts w:ascii="Arial" w:hAnsi="Arial" w:cs="Arial"/>
          <w:color w:val="000000"/>
          <w:lang w:val="mn-MN" w:eastAsia="en-029"/>
        </w:rPr>
      </w:pPr>
      <w:r w:rsidRPr="00875437">
        <w:rPr>
          <w:rFonts w:ascii="Arial" w:hAnsi="Arial" w:cs="Arial"/>
          <w:color w:val="000000"/>
          <w:lang w:val="mn-MN" w:eastAsia="en-029"/>
        </w:rPr>
        <w:t>МОНГОЛ УЛСЫН</w:t>
      </w:r>
    </w:p>
    <w:p w14:paraId="3ED0B6E4" w14:textId="2F582EED" w:rsidR="00D83F12" w:rsidRPr="009E43AD" w:rsidRDefault="009E43AD" w:rsidP="005E5984">
      <w:pPr>
        <w:spacing w:after="0" w:line="240" w:lineRule="auto"/>
        <w:ind w:left="720" w:firstLine="720"/>
        <w:jc w:val="both"/>
        <w:rPr>
          <w:lang w:val="mn-MN"/>
        </w:rPr>
      </w:pPr>
      <w:r w:rsidRPr="00875437">
        <w:rPr>
          <w:rFonts w:ascii="Arial" w:hAnsi="Arial" w:cs="Arial"/>
          <w:color w:val="000000"/>
          <w:lang w:val="mn-MN" w:eastAsia="en-029"/>
        </w:rPr>
        <w:t xml:space="preserve">ИХ ХУРЛЫН ДАРГА </w:t>
      </w:r>
      <w:r w:rsidRPr="00875437">
        <w:rPr>
          <w:rFonts w:ascii="Arial" w:hAnsi="Arial" w:cs="Arial"/>
          <w:color w:val="000000"/>
          <w:lang w:val="mn-MN" w:eastAsia="en-029"/>
        </w:rPr>
        <w:tab/>
      </w:r>
      <w:r w:rsidRPr="00875437">
        <w:rPr>
          <w:rFonts w:ascii="Arial" w:hAnsi="Arial" w:cs="Arial"/>
          <w:color w:val="000000"/>
          <w:lang w:val="mn-MN" w:eastAsia="en-029"/>
        </w:rPr>
        <w:tab/>
      </w:r>
      <w:r w:rsidRPr="00875437">
        <w:rPr>
          <w:rFonts w:ascii="Arial" w:hAnsi="Arial" w:cs="Arial"/>
          <w:color w:val="000000"/>
          <w:lang w:val="mn-MN" w:eastAsia="en-029"/>
        </w:rPr>
        <w:tab/>
      </w:r>
      <w:r w:rsidRPr="00875437">
        <w:rPr>
          <w:rFonts w:ascii="Arial" w:hAnsi="Arial" w:cs="Arial"/>
          <w:color w:val="000000"/>
          <w:lang w:val="mn-MN" w:eastAsia="en-029"/>
        </w:rPr>
        <w:tab/>
        <w:t>Г.ЗАНДАНШАТАР</w:t>
      </w:r>
    </w:p>
    <w:sectPr w:rsidR="00D83F12" w:rsidRPr="009E43AD" w:rsidSect="009E43AD">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entury Gothic"/>
    <w:panose1 w:val="020F0502020204030204"/>
    <w:charset w:val="00"/>
    <w:family w:val="swiss"/>
    <w:pitch w:val="variable"/>
    <w:sig w:usb0="E0002AFF" w:usb1="C000ACFF" w:usb2="00000009" w:usb3="00000000" w:csb0="000001FF" w:csb1="00000000"/>
  </w:font>
  <w:font w:name="SimSun">
    <w:altName w:val="??______V?"/>
    <w:panose1 w:val="02010600030101010101"/>
    <w:charset w:val="86"/>
    <w:family w:val="auto"/>
    <w:pitch w:val="variable"/>
    <w:sig w:usb0="00000003" w:usb1="288F0000" w:usb2="00000016" w:usb3="00000000" w:csb0="00040001" w:csb1="00000000"/>
  </w:font>
  <w:font w:name="Mongolian Baiti">
    <w:altName w:val="Times New Roman"/>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3AD"/>
    <w:rsid w:val="00014F84"/>
    <w:rsid w:val="000477B4"/>
    <w:rsid w:val="000753D9"/>
    <w:rsid w:val="00075D3A"/>
    <w:rsid w:val="00091F2E"/>
    <w:rsid w:val="00092C6C"/>
    <w:rsid w:val="000D0A37"/>
    <w:rsid w:val="00140E1D"/>
    <w:rsid w:val="0018537A"/>
    <w:rsid w:val="00196C4B"/>
    <w:rsid w:val="001A5D7A"/>
    <w:rsid w:val="00200920"/>
    <w:rsid w:val="002244A9"/>
    <w:rsid w:val="00225FEC"/>
    <w:rsid w:val="002322C0"/>
    <w:rsid w:val="00261D24"/>
    <w:rsid w:val="0026302F"/>
    <w:rsid w:val="00265EDC"/>
    <w:rsid w:val="00280EC4"/>
    <w:rsid w:val="002875AE"/>
    <w:rsid w:val="002A1828"/>
    <w:rsid w:val="002A6F67"/>
    <w:rsid w:val="002D027C"/>
    <w:rsid w:val="002D5B93"/>
    <w:rsid w:val="002E117E"/>
    <w:rsid w:val="002E3130"/>
    <w:rsid w:val="002E45B9"/>
    <w:rsid w:val="00302494"/>
    <w:rsid w:val="00310B91"/>
    <w:rsid w:val="00322B74"/>
    <w:rsid w:val="00393012"/>
    <w:rsid w:val="003956F6"/>
    <w:rsid w:val="003B6987"/>
    <w:rsid w:val="003C696B"/>
    <w:rsid w:val="003D7428"/>
    <w:rsid w:val="003E6091"/>
    <w:rsid w:val="00407133"/>
    <w:rsid w:val="00467FF8"/>
    <w:rsid w:val="00521F78"/>
    <w:rsid w:val="0052745F"/>
    <w:rsid w:val="00532E0F"/>
    <w:rsid w:val="00542300"/>
    <w:rsid w:val="0055479B"/>
    <w:rsid w:val="00567C74"/>
    <w:rsid w:val="00573018"/>
    <w:rsid w:val="00576BA2"/>
    <w:rsid w:val="00577421"/>
    <w:rsid w:val="005809EC"/>
    <w:rsid w:val="00590B44"/>
    <w:rsid w:val="005B43A2"/>
    <w:rsid w:val="005B653A"/>
    <w:rsid w:val="005C7EE4"/>
    <w:rsid w:val="005E07EF"/>
    <w:rsid w:val="005E5984"/>
    <w:rsid w:val="00667696"/>
    <w:rsid w:val="00671FEF"/>
    <w:rsid w:val="006A02EC"/>
    <w:rsid w:val="006B103C"/>
    <w:rsid w:val="007232A9"/>
    <w:rsid w:val="00764D89"/>
    <w:rsid w:val="0078078B"/>
    <w:rsid w:val="00793BFA"/>
    <w:rsid w:val="00797B76"/>
    <w:rsid w:val="007B2F8A"/>
    <w:rsid w:val="007C6CB1"/>
    <w:rsid w:val="00803692"/>
    <w:rsid w:val="00886EBC"/>
    <w:rsid w:val="0092482C"/>
    <w:rsid w:val="00932173"/>
    <w:rsid w:val="00957095"/>
    <w:rsid w:val="00966165"/>
    <w:rsid w:val="0096678D"/>
    <w:rsid w:val="00970E39"/>
    <w:rsid w:val="009A1262"/>
    <w:rsid w:val="009B15E6"/>
    <w:rsid w:val="009B1A2E"/>
    <w:rsid w:val="009D71DC"/>
    <w:rsid w:val="009E43AD"/>
    <w:rsid w:val="00A00FEE"/>
    <w:rsid w:val="00A1345C"/>
    <w:rsid w:val="00A1412E"/>
    <w:rsid w:val="00A26282"/>
    <w:rsid w:val="00A432AE"/>
    <w:rsid w:val="00A45290"/>
    <w:rsid w:val="00A52B84"/>
    <w:rsid w:val="00A62069"/>
    <w:rsid w:val="00A924E6"/>
    <w:rsid w:val="00AA5F79"/>
    <w:rsid w:val="00AA7A48"/>
    <w:rsid w:val="00AB7A11"/>
    <w:rsid w:val="00B117F9"/>
    <w:rsid w:val="00B44826"/>
    <w:rsid w:val="00B76311"/>
    <w:rsid w:val="00B913E9"/>
    <w:rsid w:val="00BC5ACF"/>
    <w:rsid w:val="00BD51F7"/>
    <w:rsid w:val="00BF6C4D"/>
    <w:rsid w:val="00BF7A36"/>
    <w:rsid w:val="00C56C57"/>
    <w:rsid w:val="00C651A5"/>
    <w:rsid w:val="00C70F87"/>
    <w:rsid w:val="00C76F6C"/>
    <w:rsid w:val="00C918AE"/>
    <w:rsid w:val="00CB1B85"/>
    <w:rsid w:val="00CC092C"/>
    <w:rsid w:val="00CD6020"/>
    <w:rsid w:val="00CE03B8"/>
    <w:rsid w:val="00D034A3"/>
    <w:rsid w:val="00D16292"/>
    <w:rsid w:val="00D74394"/>
    <w:rsid w:val="00D82E03"/>
    <w:rsid w:val="00D83F12"/>
    <w:rsid w:val="00DE3E4D"/>
    <w:rsid w:val="00E06DB8"/>
    <w:rsid w:val="00E60088"/>
    <w:rsid w:val="00E614D1"/>
    <w:rsid w:val="00E96F37"/>
    <w:rsid w:val="00F11F3C"/>
    <w:rsid w:val="00F33F3F"/>
    <w:rsid w:val="00F43401"/>
    <w:rsid w:val="00F52C60"/>
    <w:rsid w:val="00F73691"/>
    <w:rsid w:val="00FB1C9F"/>
    <w:rsid w:val="00FB560F"/>
    <w:rsid w:val="00FB70A2"/>
    <w:rsid w:val="00FE1196"/>
    <w:rsid w:val="00FE5F7F"/>
    <w:rsid w:val="00FF2F5F"/>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D42F2"/>
  <w15:docId w15:val="{8CA113EE-7E46-8B46-A9FA-B5FA2D05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mn-MN"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3AD"/>
    <w:pPr>
      <w:spacing w:after="160" w:line="259" w:lineRule="auto"/>
    </w:pPr>
    <w:rPr>
      <w:rFonts w:eastAsiaTheme="minorHAnsi"/>
      <w:lang w:val="en-US" w:eastAsia="en-US"/>
    </w:rPr>
  </w:style>
  <w:style w:type="paragraph" w:styleId="Heading1">
    <w:name w:val="heading 1"/>
    <w:basedOn w:val="Normal"/>
    <w:next w:val="Normal"/>
    <w:link w:val="Heading1Char"/>
    <w:qFormat/>
    <w:rsid w:val="005E5984"/>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5984"/>
    <w:rPr>
      <w:rFonts w:ascii="Cambria" w:eastAsia="Times New Roman" w:hAnsi="Cambria" w:cs="Times New Roman"/>
      <w:b/>
      <w:bCs/>
      <w:kern w:val="32"/>
      <w:sz w:val="32"/>
      <w:szCs w:val="32"/>
      <w:lang w:val="en-US" w:eastAsia="en-US"/>
    </w:rPr>
  </w:style>
  <w:style w:type="paragraph" w:styleId="Title">
    <w:name w:val="Title"/>
    <w:basedOn w:val="Normal"/>
    <w:link w:val="TitleChar"/>
    <w:qFormat/>
    <w:rsid w:val="005E5984"/>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5E5984"/>
    <w:rPr>
      <w:rFonts w:ascii="Times New Roman Mon" w:eastAsia="Times New Roman" w:hAnsi="Times New Roman Mon" w:cs="Times New Roman"/>
      <w:b/>
      <w:bCs/>
      <w:color w:val="3366FF"/>
      <w:sz w:val="44"/>
      <w:szCs w:val="24"/>
      <w:lang w:val="ms-MY"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Uranchimeg</dc:creator>
  <cp:lastModifiedBy>Microsoft Office User</cp:lastModifiedBy>
  <cp:revision>2</cp:revision>
  <cp:lastPrinted>2023-01-18T03:22:00Z</cp:lastPrinted>
  <dcterms:created xsi:type="dcterms:W3CDTF">2023-01-30T02:22:00Z</dcterms:created>
  <dcterms:modified xsi:type="dcterms:W3CDTF">2023-01-30T02:22:00Z</dcterms:modified>
</cp:coreProperties>
</file>