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15E6EAA6" w14:textId="77777777" w:rsidR="004A777D" w:rsidRPr="00BE6DD1" w:rsidRDefault="004A777D" w:rsidP="004A777D">
      <w:pPr>
        <w:contextualSpacing/>
        <w:jc w:val="center"/>
        <w:rPr>
          <w:rFonts w:ascii="Arial" w:hAnsi="Arial" w:cs="Arial"/>
          <w:b/>
          <w:bCs/>
          <w:caps/>
          <w:shd w:val="clear" w:color="auto" w:fill="FFFFFF"/>
          <w:lang w:val="mn-MN"/>
        </w:rPr>
      </w:pPr>
      <w:r w:rsidRPr="00BE6DD1">
        <w:rPr>
          <w:rFonts w:ascii="Arial" w:hAnsi="Arial" w:cs="Arial"/>
          <w:b/>
          <w:lang w:val="mn-MN"/>
        </w:rPr>
        <w:t>ХАДГАЛАМЖ, ЗЭЭЛИЙН ХОРШООНЫ</w:t>
      </w:r>
      <w:r w:rsidRPr="00BE6DD1">
        <w:rPr>
          <w:rFonts w:ascii="Arial" w:hAnsi="Arial" w:cs="Arial"/>
          <w:b/>
          <w:bCs/>
          <w:caps/>
          <w:shd w:val="clear" w:color="auto" w:fill="FFFFFF"/>
          <w:lang w:val="mn-MN"/>
        </w:rPr>
        <w:t xml:space="preserve"> </w:t>
      </w:r>
    </w:p>
    <w:p w14:paraId="56C4940E" w14:textId="77777777" w:rsidR="004A777D" w:rsidRPr="00BE6DD1" w:rsidRDefault="004A777D" w:rsidP="004A777D">
      <w:pPr>
        <w:contextualSpacing/>
        <w:jc w:val="center"/>
        <w:rPr>
          <w:rFonts w:ascii="Arial" w:hAnsi="Arial" w:cs="Arial"/>
          <w:b/>
          <w:bCs/>
          <w:lang w:val="mn-MN"/>
        </w:rPr>
      </w:pPr>
      <w:r w:rsidRPr="00BE6DD1">
        <w:rPr>
          <w:rFonts w:ascii="Arial" w:hAnsi="Arial" w:cs="Arial"/>
          <w:b/>
          <w:bCs/>
          <w:caps/>
          <w:shd w:val="clear" w:color="auto" w:fill="FFFFFF"/>
          <w:lang w:val="mn-MN"/>
        </w:rPr>
        <w:t xml:space="preserve">    ТУХАЙ</w:t>
      </w:r>
      <w:r w:rsidRPr="00BE6DD1">
        <w:rPr>
          <w:rFonts w:ascii="Arial" w:hAnsi="Arial" w:cs="Arial"/>
          <w:caps/>
          <w:shd w:val="clear" w:color="auto" w:fill="FFFFFF"/>
          <w:lang w:val="mn-MN"/>
        </w:rPr>
        <w:t xml:space="preserve"> </w:t>
      </w:r>
      <w:r w:rsidRPr="00BE6DD1">
        <w:rPr>
          <w:rFonts w:ascii="Arial" w:hAnsi="Arial" w:cs="Arial"/>
          <w:b/>
          <w:bCs/>
          <w:lang w:val="mn-MN"/>
        </w:rPr>
        <w:t xml:space="preserve">ХУУЛЬД ӨӨРЧЛӨЛТ </w:t>
      </w:r>
    </w:p>
    <w:p w14:paraId="4E70CE4D" w14:textId="77777777" w:rsidR="004A777D" w:rsidRPr="00BE6DD1" w:rsidRDefault="004A777D" w:rsidP="004A777D">
      <w:pPr>
        <w:contextualSpacing/>
        <w:jc w:val="center"/>
        <w:rPr>
          <w:rFonts w:ascii="Arial" w:hAnsi="Arial" w:cs="Arial"/>
          <w:caps/>
          <w:shd w:val="clear" w:color="auto" w:fill="FFFFFF"/>
          <w:lang w:val="mn-MN"/>
        </w:rPr>
      </w:pPr>
      <w:r w:rsidRPr="00BE6DD1">
        <w:rPr>
          <w:rFonts w:ascii="Arial" w:hAnsi="Arial" w:cs="Arial"/>
          <w:b/>
          <w:bCs/>
          <w:lang w:val="mn-MN"/>
        </w:rPr>
        <w:t xml:space="preserve">    ОРУУЛАХ ТУХАЙ</w:t>
      </w:r>
    </w:p>
    <w:p w14:paraId="58A74B6B" w14:textId="77777777" w:rsidR="004A777D" w:rsidRPr="00BE6DD1" w:rsidRDefault="004A777D" w:rsidP="004A777D">
      <w:pPr>
        <w:pStyle w:val="Paragraph"/>
        <w:spacing w:line="360" w:lineRule="auto"/>
        <w:ind w:left="0" w:firstLine="0"/>
        <w:jc w:val="both"/>
        <w:rPr>
          <w:rFonts w:ascii="Arial" w:hAnsi="Arial" w:cs="Arial"/>
          <w:lang w:val="mn-MN"/>
        </w:rPr>
      </w:pPr>
    </w:p>
    <w:p w14:paraId="250533D8" w14:textId="77777777" w:rsidR="004A777D" w:rsidRPr="00BE6DD1" w:rsidRDefault="004A777D" w:rsidP="004A777D">
      <w:pPr>
        <w:pStyle w:val="Paragraph"/>
        <w:ind w:left="0" w:firstLine="1080"/>
        <w:jc w:val="both"/>
        <w:rPr>
          <w:rFonts w:ascii="Arial" w:hAnsi="Arial" w:cs="Arial"/>
          <w:lang w:val="mn-MN"/>
        </w:rPr>
      </w:pPr>
      <w:r w:rsidRPr="00BE6DD1">
        <w:rPr>
          <w:rFonts w:ascii="Arial" w:hAnsi="Arial" w:cs="Arial"/>
          <w:b/>
          <w:bCs/>
          <w:lang w:val="mn-MN"/>
        </w:rPr>
        <w:t>1 дүгээр зүйл.</w:t>
      </w:r>
      <w:r w:rsidRPr="00BE6DD1">
        <w:rPr>
          <w:rFonts w:ascii="Arial" w:hAnsi="Arial" w:cs="Arial"/>
          <w:lang w:val="mn-MN"/>
        </w:rPr>
        <w:t>Хадгаламж, зээлийн хоршооны тухай хуулийн 15 дугаар зүйлийн 15.7 дахь хэсгийг доор дурдсанаар өөрчлөн найруулсугай:</w:t>
      </w:r>
    </w:p>
    <w:p w14:paraId="53A2B57E" w14:textId="77777777" w:rsidR="004A777D" w:rsidRPr="00BE6DD1" w:rsidRDefault="004A777D" w:rsidP="004A777D">
      <w:pPr>
        <w:pStyle w:val="Paragraph"/>
        <w:ind w:left="0"/>
        <w:jc w:val="both"/>
        <w:rPr>
          <w:rFonts w:ascii="Arial" w:hAnsi="Arial" w:cs="Arial"/>
          <w:lang w:val="mn-MN"/>
        </w:rPr>
      </w:pPr>
    </w:p>
    <w:p w14:paraId="24197C51" w14:textId="77777777" w:rsidR="004A777D" w:rsidRPr="00BE6DD1" w:rsidRDefault="004A777D" w:rsidP="004A777D">
      <w:pPr>
        <w:pStyle w:val="Paragraph"/>
        <w:ind w:left="0" w:firstLine="1080"/>
        <w:jc w:val="both"/>
        <w:rPr>
          <w:rFonts w:ascii="Arial" w:hAnsi="Arial" w:cs="Arial"/>
          <w:lang w:val="mn-MN"/>
        </w:rPr>
      </w:pPr>
      <w:r w:rsidRPr="00BE6DD1">
        <w:rPr>
          <w:rFonts w:ascii="Arial" w:hAnsi="Arial" w:cs="Arial"/>
          <w:lang w:val="mn-MN"/>
        </w:rPr>
        <w:t>“15.7.Хороо тусгай зөвшөөрөл олгохоос татгалзсан бол Зөвшөөрлийн тухай хуулийн 5.2 дугаар зүйлийн 9, 10 дахь хэсэгт заасан арга хэмжээг авахаас гадна тухайн хадгаламж, зээлийн хоршоог татан буулгах, эсхүл хуулийн этгээдийн улсын бүртгэлд өөрчлөлт оруулах тухай мэдэгдлийг тухайн хадгаламж, зээлийн хоршоонд, мэдээллийг хуулийн этгээдийн улсын бүртгэлийн эрх бүхий байгууллагад хүргүүлнэ.”</w:t>
      </w:r>
    </w:p>
    <w:p w14:paraId="00C2E53A" w14:textId="77777777" w:rsidR="004A777D" w:rsidRPr="00BE6DD1" w:rsidRDefault="004A777D" w:rsidP="004A777D">
      <w:pPr>
        <w:pStyle w:val="Paragraph"/>
        <w:ind w:left="0"/>
        <w:jc w:val="both"/>
        <w:rPr>
          <w:rFonts w:ascii="Arial" w:hAnsi="Arial" w:cs="Arial"/>
          <w:lang w:val="mn-MN"/>
        </w:rPr>
      </w:pPr>
    </w:p>
    <w:p w14:paraId="4FE0A594" w14:textId="77777777" w:rsidR="004A777D" w:rsidRPr="00BE6DD1" w:rsidRDefault="004A777D" w:rsidP="004A777D">
      <w:pPr>
        <w:pStyle w:val="Paragraph"/>
        <w:ind w:left="0" w:firstLine="1080"/>
        <w:jc w:val="both"/>
        <w:rPr>
          <w:rFonts w:ascii="Arial" w:hAnsi="Arial" w:cs="Arial"/>
          <w:lang w:val="mn-MN"/>
        </w:rPr>
      </w:pPr>
      <w:r w:rsidRPr="00BE6DD1">
        <w:rPr>
          <w:rFonts w:ascii="Arial" w:hAnsi="Arial" w:cs="Arial"/>
          <w:b/>
          <w:bCs/>
          <w:lang w:val="mn-MN"/>
        </w:rPr>
        <w:t>2 дугаар зүйл.</w:t>
      </w:r>
      <w:r w:rsidRPr="00BE6DD1">
        <w:rPr>
          <w:rFonts w:ascii="Arial" w:hAnsi="Arial" w:cs="Arial"/>
          <w:lang w:val="mn-MN"/>
        </w:rPr>
        <w:t>Хадгаламж, зээлийн хоршооны тухай</w:t>
      </w:r>
      <w:r w:rsidRPr="00BE6DD1">
        <w:rPr>
          <w:rFonts w:ascii="Arial" w:hAnsi="Arial" w:cs="Arial"/>
          <w:shd w:val="clear" w:color="auto" w:fill="FFFFFF"/>
          <w:lang w:val="mn-MN"/>
        </w:rPr>
        <w:t xml:space="preserve"> </w:t>
      </w:r>
      <w:r w:rsidRPr="00BE6DD1">
        <w:rPr>
          <w:rFonts w:ascii="Arial" w:hAnsi="Arial" w:cs="Arial"/>
          <w:lang w:val="mn-MN"/>
        </w:rPr>
        <w:t>хуулийн 13 дугаар зүйлийн 13.6 дахь хэсгийн “</w:t>
      </w:r>
      <w:r w:rsidRPr="00BE6DD1">
        <w:rPr>
          <w:rFonts w:ascii="Arial" w:eastAsia="Arial" w:hAnsi="Arial" w:cs="Arial"/>
          <w:lang w:val="mn-MN"/>
        </w:rPr>
        <w:t>13.4, 13.5-д” гэснийг “13.4-т” гэж,</w:t>
      </w:r>
      <w:r w:rsidRPr="00BE6DD1">
        <w:rPr>
          <w:rFonts w:ascii="Arial" w:hAnsi="Arial" w:cs="Arial"/>
          <w:lang w:val="mn-MN"/>
        </w:rPr>
        <w:t xml:space="preserve"> 15 дугаар зүйлийн 15.5 дахь хэсгийн “</w:t>
      </w:r>
      <w:r w:rsidRPr="00BE6DD1">
        <w:rPr>
          <w:rFonts w:ascii="Arial" w:eastAsia="Arial" w:hAnsi="Arial" w:cs="Arial"/>
          <w:lang w:val="mn-MN"/>
        </w:rPr>
        <w:t>гурав хүртэл жилийн хугацаатай” гэснийг “хугацаагүй” гэж, 1</w:t>
      </w:r>
      <w:r w:rsidRPr="00BE6DD1">
        <w:rPr>
          <w:rFonts w:ascii="Arial" w:hAnsi="Arial" w:cs="Arial"/>
          <w:lang w:val="mn-MN"/>
        </w:rPr>
        <w:t>6 дугаар зүйлийн 16.3 дахь хэсгийн “зөвхөн зээлийн болон Хорооноос зөвшөөрсөн санхүүгийн бусад ажил, үйлчилгээний” гэснийг “зээлийн үйл ажиллагааны” гэж</w:t>
      </w:r>
      <w:r w:rsidRPr="00BE6DD1">
        <w:rPr>
          <w:rFonts w:ascii="Arial" w:hAnsi="Arial" w:cs="Arial"/>
          <w:b/>
          <w:bCs/>
          <w:lang w:val="mn-MN"/>
        </w:rPr>
        <w:t xml:space="preserve"> </w:t>
      </w:r>
      <w:r w:rsidRPr="00BE6DD1">
        <w:rPr>
          <w:rFonts w:ascii="Arial" w:hAnsi="Arial" w:cs="Arial"/>
          <w:lang w:val="mn-MN"/>
        </w:rPr>
        <w:t>тус тус өөрчилсүгэй.</w:t>
      </w:r>
    </w:p>
    <w:p w14:paraId="783D11DB" w14:textId="77777777" w:rsidR="004A777D" w:rsidRPr="00BE6DD1" w:rsidRDefault="004A777D" w:rsidP="004A777D">
      <w:pPr>
        <w:pStyle w:val="Paragraph"/>
        <w:ind w:left="0"/>
        <w:jc w:val="both"/>
        <w:rPr>
          <w:rFonts w:ascii="Arial" w:hAnsi="Arial" w:cs="Arial"/>
          <w:lang w:val="mn-MN"/>
        </w:rPr>
      </w:pPr>
    </w:p>
    <w:p w14:paraId="59E2E3DC" w14:textId="77777777" w:rsidR="004A777D" w:rsidRPr="00BE6DD1" w:rsidRDefault="004A777D" w:rsidP="004A777D">
      <w:pPr>
        <w:pStyle w:val="Paragraph"/>
        <w:ind w:left="0" w:firstLine="1080"/>
        <w:jc w:val="both"/>
        <w:rPr>
          <w:rFonts w:ascii="Arial" w:hAnsi="Arial" w:cs="Arial"/>
          <w:lang w:val="mn-MN"/>
        </w:rPr>
      </w:pPr>
      <w:r w:rsidRPr="00BE6DD1">
        <w:rPr>
          <w:rFonts w:ascii="Arial" w:hAnsi="Arial" w:cs="Arial"/>
          <w:b/>
          <w:bCs/>
          <w:lang w:val="mn-MN"/>
        </w:rPr>
        <w:t>3 дугаар зүйл.</w:t>
      </w:r>
      <w:r w:rsidRPr="00BE6DD1">
        <w:rPr>
          <w:rFonts w:ascii="Arial" w:hAnsi="Arial" w:cs="Arial"/>
          <w:lang w:val="mn-MN"/>
        </w:rPr>
        <w:t>Хадгаламж, зээлийн хоршооны тухай</w:t>
      </w:r>
      <w:r w:rsidRPr="00BE6DD1">
        <w:rPr>
          <w:rFonts w:ascii="Arial" w:hAnsi="Arial" w:cs="Arial"/>
          <w:shd w:val="clear" w:color="auto" w:fill="FFFFFF"/>
          <w:lang w:val="mn-MN"/>
        </w:rPr>
        <w:t xml:space="preserve"> </w:t>
      </w:r>
      <w:r w:rsidRPr="00BE6DD1">
        <w:rPr>
          <w:rFonts w:ascii="Arial" w:hAnsi="Arial" w:cs="Arial"/>
          <w:lang w:val="mn-MN"/>
        </w:rPr>
        <w:t xml:space="preserve">хуулийн 13 дугаар зүйлийн 13.5 дахь </w:t>
      </w:r>
      <w:r w:rsidRPr="00BE6DD1">
        <w:rPr>
          <w:rFonts w:ascii="Arial" w:hAnsi="Arial" w:cs="Arial"/>
          <w:iCs/>
          <w:lang w:val="mn-MN"/>
        </w:rPr>
        <w:t>хэсгийг</w:t>
      </w:r>
      <w:r w:rsidRPr="00BE6DD1">
        <w:rPr>
          <w:rFonts w:ascii="Arial" w:hAnsi="Arial" w:cs="Arial"/>
          <w:lang w:val="mn-MN"/>
        </w:rPr>
        <w:t>, 15 дугаар зүйлийн 15.1, 15.6, 15.9 дэх хэсгийг тус тус хүчингүй болсонд тооцсугай.</w:t>
      </w:r>
    </w:p>
    <w:p w14:paraId="704C5EF0" w14:textId="77777777" w:rsidR="004A777D" w:rsidRPr="00BE6DD1" w:rsidRDefault="004A777D" w:rsidP="004A777D">
      <w:pPr>
        <w:pStyle w:val="Paragraph"/>
        <w:ind w:left="0"/>
        <w:jc w:val="both"/>
        <w:rPr>
          <w:rFonts w:ascii="Arial" w:hAnsi="Arial" w:cs="Arial"/>
          <w:lang w:val="mn-MN"/>
        </w:rPr>
      </w:pPr>
    </w:p>
    <w:p w14:paraId="3CE30C3B" w14:textId="77777777" w:rsidR="004A777D" w:rsidRPr="00BE6DD1" w:rsidRDefault="004A777D" w:rsidP="004A777D">
      <w:pPr>
        <w:ind w:firstLine="1080"/>
        <w:contextualSpacing/>
        <w:jc w:val="both"/>
        <w:rPr>
          <w:rFonts w:ascii="Arial" w:hAnsi="Arial" w:cs="Arial"/>
          <w:lang w:val="mn-MN"/>
        </w:rPr>
      </w:pPr>
      <w:r w:rsidRPr="00BE6DD1">
        <w:rPr>
          <w:rFonts w:ascii="Arial" w:hAnsi="Arial" w:cs="Arial"/>
          <w:b/>
          <w:bCs/>
          <w:lang w:val="mn-MN"/>
        </w:rPr>
        <w:t>4 дүгээр зүйл.</w:t>
      </w:r>
      <w:r w:rsidRPr="00BE6DD1">
        <w:rPr>
          <w:rFonts w:ascii="Arial" w:hAnsi="Arial" w:cs="Arial"/>
          <w:lang w:val="mn-MN"/>
        </w:rPr>
        <w:t>Энэ хуулийг 2023 оны 01 дүгээр сарын 06-ны өдрөөс эхлэн дагаж мөрдөнө.</w:t>
      </w:r>
    </w:p>
    <w:p w14:paraId="6D5914C3" w14:textId="77777777" w:rsidR="004A777D" w:rsidRPr="00BE6DD1" w:rsidRDefault="004A777D" w:rsidP="004A777D">
      <w:pPr>
        <w:ind w:firstLine="1080"/>
        <w:contextualSpacing/>
        <w:jc w:val="both"/>
        <w:rPr>
          <w:rFonts w:ascii="Arial" w:hAnsi="Arial" w:cs="Arial"/>
          <w:lang w:val="mn-MN"/>
        </w:rPr>
      </w:pPr>
    </w:p>
    <w:p w14:paraId="5301DED7" w14:textId="77777777" w:rsidR="005C0EAA" w:rsidRPr="00BE6DD1" w:rsidRDefault="005C0EAA" w:rsidP="005C0EAA">
      <w:pPr>
        <w:contextualSpacing/>
        <w:jc w:val="both"/>
        <w:rPr>
          <w:rFonts w:ascii="Arial" w:hAnsi="Arial" w:cs="Arial"/>
          <w:bCs/>
          <w:sz w:val="23"/>
          <w:szCs w:val="23"/>
          <w:lang w:val="mn-MN"/>
        </w:rPr>
      </w:pPr>
    </w:p>
    <w:p w14:paraId="7DF1DB49" w14:textId="77777777" w:rsidR="007813A9" w:rsidRPr="00707BC7" w:rsidRDefault="007813A9" w:rsidP="005C0EAA">
      <w:pPr>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22C1"/>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A777D"/>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0EAA"/>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56BF0"/>
    <w:rsid w:val="006666E3"/>
    <w:rsid w:val="006712E1"/>
    <w:rsid w:val="0067433C"/>
    <w:rsid w:val="00674A13"/>
    <w:rsid w:val="006775E8"/>
    <w:rsid w:val="0068157F"/>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022B"/>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54517"/>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CF7088"/>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 w:type="character" w:customStyle="1" w:styleId="normaltextrun">
    <w:name w:val="normaltextrun"/>
    <w:basedOn w:val="DefaultParagraphFont"/>
    <w:rsid w:val="005C0EAA"/>
  </w:style>
  <w:style w:type="paragraph" w:customStyle="1" w:styleId="paragraph0">
    <w:name w:val="paragraph"/>
    <w:basedOn w:val="Normal"/>
    <w:rsid w:val="005C0EAA"/>
    <w:pPr>
      <w:spacing w:before="100" w:beforeAutospacing="1" w:after="100" w:afterAutospacing="1"/>
    </w:pPr>
  </w:style>
  <w:style w:type="character" w:customStyle="1" w:styleId="eop">
    <w:name w:val="eop"/>
    <w:basedOn w:val="DefaultParagraphFont"/>
    <w:rsid w:val="005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2023-02-06T08:01:00Z</dcterms:created>
  <dcterms:modified xsi:type="dcterms:W3CDTF">2023-02-06T08:01:00Z</dcterms:modified>
</cp:coreProperties>
</file>