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4356363"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955CA9">
        <w:rPr>
          <w:rFonts w:ascii="Arial" w:hAnsi="Arial" w:cs="Arial"/>
          <w:color w:val="3366FF"/>
          <w:sz w:val="20"/>
          <w:szCs w:val="20"/>
          <w:u w:val="single"/>
        </w:rPr>
        <w:t>2</w:t>
      </w:r>
      <w:r w:rsidR="007E6BC4">
        <w:rPr>
          <w:rFonts w:ascii="Arial" w:hAnsi="Arial" w:cs="Arial"/>
          <w:color w:val="3366FF"/>
          <w:sz w:val="20"/>
          <w:szCs w:val="20"/>
          <w:u w:val="single"/>
        </w:rPr>
        <w:t>8</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174548">
        <w:rPr>
          <w:rFonts w:ascii="Arial" w:hAnsi="Arial" w:cs="Arial"/>
          <w:color w:val="3366FF"/>
          <w:sz w:val="20"/>
          <w:szCs w:val="20"/>
          <w:u w:val="single"/>
        </w:rPr>
        <w:t>118</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7A263425" w14:textId="61470D7F" w:rsidR="00A73FC2" w:rsidRDefault="00FF0D87" w:rsidP="00A73FC2">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7DDD9A73" w14:textId="77777777" w:rsidR="00A73FC2" w:rsidRPr="00A73FC2" w:rsidRDefault="00A73FC2" w:rsidP="00A73FC2">
      <w:pPr>
        <w:rPr>
          <w:rFonts w:ascii="Arial" w:hAnsi="Arial" w:cs="Arial"/>
          <w:b/>
          <w:bCs/>
          <w:color w:val="000000"/>
          <w:lang w:val="mn-MN"/>
        </w:rPr>
      </w:pPr>
    </w:p>
    <w:p w14:paraId="23977ABA" w14:textId="77777777" w:rsidR="00174548" w:rsidRPr="00B6757D" w:rsidRDefault="00174548" w:rsidP="00174548">
      <w:pPr>
        <w:contextualSpacing/>
        <w:jc w:val="center"/>
        <w:rPr>
          <w:rFonts w:ascii="Arial" w:eastAsia="Arial" w:hAnsi="Arial" w:cs="Arial"/>
          <w:b/>
          <w:bCs/>
          <w:color w:val="000000" w:themeColor="text1"/>
          <w:lang w:val="mn-MN"/>
        </w:rPr>
      </w:pPr>
      <w:r w:rsidRPr="00B6757D">
        <w:rPr>
          <w:rFonts w:ascii="Arial" w:eastAsia="Arial" w:hAnsi="Arial" w:cs="Arial"/>
          <w:b/>
          <w:bCs/>
          <w:color w:val="000000" w:themeColor="text1"/>
          <w:lang w:val="mn-MN"/>
        </w:rPr>
        <w:t>Тогтоолын хавсралтад нэмэлт</w:t>
      </w:r>
    </w:p>
    <w:p w14:paraId="054BE7D3" w14:textId="77777777" w:rsidR="00174548" w:rsidRPr="00B6757D" w:rsidRDefault="00174548" w:rsidP="00174548">
      <w:pPr>
        <w:contextualSpacing/>
        <w:jc w:val="center"/>
        <w:rPr>
          <w:rFonts w:ascii="Arial" w:eastAsia="Arial" w:hAnsi="Arial" w:cs="Arial"/>
          <w:b/>
          <w:bCs/>
          <w:color w:val="000000" w:themeColor="text1"/>
          <w:lang w:val="mn-MN"/>
        </w:rPr>
      </w:pPr>
      <w:r>
        <w:rPr>
          <w:rFonts w:ascii="Arial" w:eastAsia="Arial" w:hAnsi="Arial" w:cs="Arial"/>
          <w:b/>
          <w:bCs/>
          <w:color w:val="000000" w:themeColor="text1"/>
          <w:lang w:val="mn-MN"/>
        </w:rPr>
        <w:t xml:space="preserve">   </w:t>
      </w:r>
      <w:r w:rsidRPr="00B6757D">
        <w:rPr>
          <w:rFonts w:ascii="Arial" w:eastAsia="Arial" w:hAnsi="Arial" w:cs="Arial"/>
          <w:b/>
          <w:bCs/>
          <w:color w:val="000000" w:themeColor="text1"/>
          <w:lang w:val="mn-MN"/>
        </w:rPr>
        <w:t>оруулах тухай</w:t>
      </w:r>
    </w:p>
    <w:p w14:paraId="4C092A3F" w14:textId="77777777" w:rsidR="00174548" w:rsidRPr="00B6757D" w:rsidRDefault="00174548" w:rsidP="00174548">
      <w:pPr>
        <w:spacing w:line="360" w:lineRule="auto"/>
        <w:contextualSpacing/>
        <w:rPr>
          <w:rFonts w:ascii="Arial" w:eastAsia="Arial" w:hAnsi="Arial" w:cs="Arial"/>
          <w:color w:val="000000" w:themeColor="text1"/>
          <w:lang w:val="mn-MN"/>
        </w:rPr>
      </w:pPr>
      <w:r w:rsidRPr="00B6757D">
        <w:rPr>
          <w:rFonts w:ascii="Arial" w:eastAsia="Arial" w:hAnsi="Arial" w:cs="Arial"/>
          <w:color w:val="000000" w:themeColor="text1"/>
          <w:lang w:val="mn-MN"/>
        </w:rPr>
        <w:tab/>
      </w:r>
      <w:r w:rsidRPr="00B6757D">
        <w:rPr>
          <w:rFonts w:ascii="Arial" w:eastAsia="Arial" w:hAnsi="Arial" w:cs="Arial"/>
          <w:color w:val="000000" w:themeColor="text1"/>
          <w:lang w:val="mn-MN"/>
        </w:rPr>
        <w:tab/>
      </w:r>
      <w:r w:rsidRPr="00B6757D">
        <w:rPr>
          <w:rFonts w:ascii="Arial" w:eastAsia="Arial" w:hAnsi="Arial" w:cs="Arial"/>
          <w:color w:val="000000" w:themeColor="text1"/>
          <w:lang w:val="mn-MN"/>
        </w:rPr>
        <w:tab/>
      </w:r>
      <w:r w:rsidRPr="00B6757D">
        <w:rPr>
          <w:rFonts w:ascii="Arial" w:eastAsia="Arial" w:hAnsi="Arial" w:cs="Arial"/>
          <w:color w:val="000000" w:themeColor="text1"/>
          <w:lang w:val="mn-MN"/>
        </w:rPr>
        <w:tab/>
      </w:r>
    </w:p>
    <w:p w14:paraId="16A68D41" w14:textId="77777777" w:rsidR="00174548" w:rsidRPr="00B6757D" w:rsidRDefault="00174548" w:rsidP="00174548">
      <w:pPr>
        <w:contextualSpacing/>
        <w:jc w:val="both"/>
        <w:rPr>
          <w:rFonts w:ascii="Arial" w:hAnsi="Arial" w:cs="Arial"/>
          <w:color w:val="000000" w:themeColor="text1"/>
          <w:shd w:val="clear" w:color="auto" w:fill="FFFFFF"/>
          <w:lang w:val="mn-MN"/>
        </w:rPr>
      </w:pPr>
      <w:r w:rsidRPr="00B6757D">
        <w:rPr>
          <w:rFonts w:ascii="Arial" w:hAnsi="Arial" w:cs="Arial"/>
          <w:b/>
          <w:bCs/>
          <w:color w:val="000000" w:themeColor="text1"/>
          <w:lang w:val="mn-MN"/>
        </w:rPr>
        <w:tab/>
      </w:r>
      <w:r w:rsidRPr="00B6757D">
        <w:rPr>
          <w:rFonts w:ascii="Arial" w:hAnsi="Arial" w:cs="Arial"/>
          <w:color w:val="000000" w:themeColor="text1"/>
          <w:shd w:val="clear" w:color="auto" w:fill="FFFFFF"/>
          <w:lang w:val="mn-MN"/>
        </w:rPr>
        <w:t>Монгол Улсын Их Хурлын тухай хуулийн 5 дугаар зүйлийн 5.1 дэх хэсэг, Монгол Улсын Их Хурлын чуулганы хуралдааны дэгийн тухай хуулийн 93 дугаар зүйлийн 93.1 дэх хэсэг, Монгол Улсын Ерөнхий прокурорын газраас ирүүлсэн саналыг үндэслэн Монгол Улсын Их Хурлаас ТОГТООХ нь:</w:t>
      </w:r>
    </w:p>
    <w:p w14:paraId="0E85AC57" w14:textId="77777777" w:rsidR="00174548" w:rsidRPr="00B6757D" w:rsidRDefault="00174548" w:rsidP="00174548">
      <w:pPr>
        <w:contextualSpacing/>
        <w:jc w:val="both"/>
        <w:rPr>
          <w:rFonts w:ascii="Arial" w:hAnsi="Arial" w:cs="Arial"/>
          <w:color w:val="000000" w:themeColor="text1"/>
          <w:shd w:val="clear" w:color="auto" w:fill="FFFFFF"/>
          <w:lang w:val="mn-MN"/>
        </w:rPr>
      </w:pPr>
    </w:p>
    <w:p w14:paraId="39314226" w14:textId="77777777" w:rsidR="00174548" w:rsidRPr="00B6757D" w:rsidRDefault="00174548" w:rsidP="00174548">
      <w:pPr>
        <w:ind w:firstLine="720"/>
        <w:contextualSpacing/>
        <w:jc w:val="both"/>
        <w:rPr>
          <w:rFonts w:ascii="Times New Roman" w:hAnsi="Times New Roman"/>
          <w:color w:val="000000" w:themeColor="text1"/>
          <w:lang w:val="mn-MN"/>
        </w:rPr>
      </w:pPr>
      <w:r w:rsidRPr="00B6757D">
        <w:rPr>
          <w:rFonts w:ascii="Arial" w:hAnsi="Arial" w:cs="Arial"/>
          <w:color w:val="000000" w:themeColor="text1"/>
          <w:shd w:val="clear" w:color="auto" w:fill="FFFFFF"/>
          <w:lang w:val="mn-MN"/>
        </w:rPr>
        <w:t>1.“Прокурорын байгууллагын бүтэц, зохион байгуулалтыг шинэчлэн батлах тухай” Монгол Улсын Их Хурлын 2015 оны 07 дугаар сарын 02-ны өдрийн 65 дугаар тогтоолын хавсралтад доор дурдсан агуулга бүхий 4 дэх хэсэг нэмсүгэй:</w:t>
      </w:r>
    </w:p>
    <w:p w14:paraId="31C37CA7" w14:textId="77777777" w:rsidR="00174548" w:rsidRPr="00B6757D" w:rsidRDefault="00174548" w:rsidP="00174548">
      <w:pPr>
        <w:ind w:firstLine="720"/>
        <w:contextualSpacing/>
        <w:jc w:val="both"/>
        <w:rPr>
          <w:rFonts w:ascii="Arial" w:hAnsi="Arial" w:cs="Arial"/>
          <w:color w:val="000000" w:themeColor="text1"/>
          <w:shd w:val="clear" w:color="auto" w:fill="FFFFFF"/>
          <w:lang w:val="mn-MN"/>
        </w:rPr>
      </w:pPr>
    </w:p>
    <w:p w14:paraId="3391EC22" w14:textId="77777777" w:rsidR="00174548" w:rsidRPr="00B6757D" w:rsidRDefault="00174548" w:rsidP="00174548">
      <w:pPr>
        <w:ind w:firstLine="720"/>
        <w:contextualSpacing/>
        <w:jc w:val="both"/>
        <w:rPr>
          <w:rFonts w:ascii="Arial" w:hAnsi="Arial" w:cs="Arial"/>
          <w:b/>
          <w:bCs/>
          <w:color w:val="000000" w:themeColor="text1"/>
          <w:shd w:val="clear" w:color="auto" w:fill="FFFFFF"/>
          <w:lang w:val="mn-MN"/>
        </w:rPr>
      </w:pPr>
      <w:r w:rsidRPr="00B6757D">
        <w:rPr>
          <w:rFonts w:ascii="Arial" w:hAnsi="Arial" w:cs="Arial"/>
          <w:color w:val="000000" w:themeColor="text1"/>
          <w:shd w:val="clear" w:color="auto" w:fill="FFFFFF"/>
          <w:lang w:val="mn-MN"/>
        </w:rPr>
        <w:t>“</w:t>
      </w:r>
      <w:r w:rsidRPr="00B6757D">
        <w:rPr>
          <w:rFonts w:ascii="Arial" w:hAnsi="Arial" w:cs="Arial"/>
          <w:b/>
          <w:bCs/>
          <w:color w:val="000000" w:themeColor="text1"/>
          <w:shd w:val="clear" w:color="auto" w:fill="FFFFFF"/>
          <w:lang w:val="mn-MN"/>
        </w:rPr>
        <w:t xml:space="preserve">Дөрөв.Улсын ерөнхий прокурорын газрын харьяа зохион </w:t>
      </w:r>
    </w:p>
    <w:p w14:paraId="001CA98D" w14:textId="77777777" w:rsidR="00174548" w:rsidRPr="00B6757D" w:rsidRDefault="00174548" w:rsidP="00174548">
      <w:pPr>
        <w:ind w:left="2880" w:firstLine="720"/>
        <w:contextualSpacing/>
        <w:jc w:val="both"/>
        <w:rPr>
          <w:rFonts w:ascii="Arial" w:hAnsi="Arial" w:cs="Arial"/>
          <w:b/>
          <w:bCs/>
          <w:color w:val="000000" w:themeColor="text1"/>
          <w:shd w:val="clear" w:color="auto" w:fill="FFFFFF"/>
          <w:lang w:val="mn-MN"/>
        </w:rPr>
      </w:pPr>
      <w:r w:rsidRPr="00B6757D">
        <w:rPr>
          <w:rFonts w:ascii="Arial" w:hAnsi="Arial" w:cs="Arial"/>
          <w:b/>
          <w:bCs/>
          <w:color w:val="000000" w:themeColor="text1"/>
          <w:shd w:val="clear" w:color="auto" w:fill="FFFFFF"/>
          <w:lang w:val="mn-MN"/>
        </w:rPr>
        <w:t>байгуулалтын нэгж</w:t>
      </w:r>
    </w:p>
    <w:p w14:paraId="66A1277D" w14:textId="77777777" w:rsidR="00174548" w:rsidRPr="00B6757D" w:rsidRDefault="00174548" w:rsidP="00174548">
      <w:pPr>
        <w:ind w:firstLine="720"/>
        <w:contextualSpacing/>
        <w:jc w:val="both"/>
        <w:rPr>
          <w:rFonts w:ascii="Arial" w:hAnsi="Arial" w:cs="Arial"/>
          <w:color w:val="000000" w:themeColor="text1"/>
          <w:shd w:val="clear" w:color="auto" w:fill="FFFFFF"/>
          <w:lang w:val="mn-MN"/>
        </w:rPr>
      </w:pPr>
    </w:p>
    <w:tbl>
      <w:tblPr>
        <w:tblStyle w:val="TableGrid"/>
        <w:tblW w:w="0" w:type="auto"/>
        <w:tblInd w:w="250" w:type="dxa"/>
        <w:tblLook w:val="04A0" w:firstRow="1" w:lastRow="0" w:firstColumn="1" w:lastColumn="0" w:noHBand="0" w:noVBand="1"/>
      </w:tblPr>
      <w:tblGrid>
        <w:gridCol w:w="417"/>
        <w:gridCol w:w="6144"/>
        <w:gridCol w:w="2534"/>
      </w:tblGrid>
      <w:tr w:rsidR="00174548" w:rsidRPr="00B6757D" w14:paraId="72613C0A" w14:textId="77777777" w:rsidTr="004E1F0E">
        <w:trPr>
          <w:trHeight w:val="60"/>
        </w:trPr>
        <w:tc>
          <w:tcPr>
            <w:tcW w:w="312" w:type="dxa"/>
          </w:tcPr>
          <w:p w14:paraId="4F74D920" w14:textId="77777777" w:rsidR="00174548" w:rsidRPr="00B6757D" w:rsidRDefault="00174548" w:rsidP="004E1F0E">
            <w:pPr>
              <w:contextualSpacing/>
              <w:jc w:val="center"/>
              <w:rPr>
                <w:rFonts w:ascii="Arial" w:hAnsi="Arial" w:cs="Arial"/>
                <w:b/>
                <w:bCs/>
                <w:color w:val="000000" w:themeColor="text1"/>
                <w:shd w:val="clear" w:color="auto" w:fill="FFFFFF"/>
                <w:lang w:val="mn-MN"/>
              </w:rPr>
            </w:pPr>
          </w:p>
        </w:tc>
        <w:tc>
          <w:tcPr>
            <w:tcW w:w="6237" w:type="dxa"/>
          </w:tcPr>
          <w:p w14:paraId="50BA8C5F" w14:textId="77777777" w:rsidR="00174548" w:rsidRPr="00672CF6" w:rsidRDefault="00174548" w:rsidP="004E1F0E">
            <w:pPr>
              <w:contextualSpacing/>
              <w:jc w:val="center"/>
              <w:rPr>
                <w:rFonts w:ascii="Arial" w:hAnsi="Arial" w:cs="Arial"/>
                <w:b/>
                <w:bCs/>
                <w:color w:val="000000" w:themeColor="text1"/>
                <w:shd w:val="clear" w:color="auto" w:fill="FFFFFF"/>
                <w:lang w:val="mn-MN"/>
              </w:rPr>
            </w:pPr>
            <w:r w:rsidRPr="00672CF6">
              <w:rPr>
                <w:rFonts w:ascii="Arial" w:hAnsi="Arial" w:cs="Arial"/>
                <w:b/>
                <w:bCs/>
                <w:color w:val="000000" w:themeColor="text1"/>
                <w:shd w:val="clear" w:color="auto" w:fill="FFFFFF"/>
                <w:lang w:val="mn-MN"/>
              </w:rPr>
              <w:t xml:space="preserve">Зохион байгуулалтын </w:t>
            </w:r>
          </w:p>
          <w:p w14:paraId="1FA7F9FF" w14:textId="77777777" w:rsidR="00174548" w:rsidRPr="00672CF6" w:rsidRDefault="00174548" w:rsidP="004E1F0E">
            <w:pPr>
              <w:contextualSpacing/>
              <w:jc w:val="center"/>
              <w:rPr>
                <w:rFonts w:ascii="Arial" w:hAnsi="Arial" w:cs="Arial"/>
                <w:b/>
                <w:bCs/>
                <w:color w:val="000000" w:themeColor="text1"/>
                <w:shd w:val="clear" w:color="auto" w:fill="FFFFFF"/>
                <w:lang w:val="mn-MN"/>
              </w:rPr>
            </w:pPr>
            <w:r w:rsidRPr="00672CF6">
              <w:rPr>
                <w:rFonts w:ascii="Arial" w:hAnsi="Arial" w:cs="Arial"/>
                <w:b/>
                <w:bCs/>
                <w:color w:val="000000" w:themeColor="text1"/>
                <w:shd w:val="clear" w:color="auto" w:fill="FFFFFF"/>
                <w:lang w:val="mn-MN"/>
              </w:rPr>
              <w:t>нэгжийн нэр</w:t>
            </w:r>
          </w:p>
        </w:tc>
        <w:tc>
          <w:tcPr>
            <w:tcW w:w="2552" w:type="dxa"/>
          </w:tcPr>
          <w:p w14:paraId="0A2E6B2E" w14:textId="77777777" w:rsidR="00174548" w:rsidRDefault="00174548" w:rsidP="004E1F0E">
            <w:pPr>
              <w:contextualSpacing/>
              <w:jc w:val="center"/>
              <w:rPr>
                <w:rFonts w:ascii="Arial" w:hAnsi="Arial" w:cs="Arial"/>
                <w:b/>
                <w:bCs/>
                <w:color w:val="000000" w:themeColor="text1"/>
                <w:shd w:val="clear" w:color="auto" w:fill="FFFFFF"/>
                <w:lang w:val="mn-MN"/>
              </w:rPr>
            </w:pPr>
            <w:r w:rsidRPr="00672CF6">
              <w:rPr>
                <w:rFonts w:ascii="Arial" w:hAnsi="Arial" w:cs="Arial"/>
                <w:b/>
                <w:bCs/>
                <w:color w:val="000000" w:themeColor="text1"/>
                <w:shd w:val="clear" w:color="auto" w:fill="FFFFFF"/>
                <w:lang w:val="mn-MN"/>
              </w:rPr>
              <w:t xml:space="preserve">Байрших газрын </w:t>
            </w:r>
          </w:p>
          <w:p w14:paraId="31D27863" w14:textId="77777777" w:rsidR="00174548" w:rsidRPr="00672CF6" w:rsidRDefault="00174548" w:rsidP="004E1F0E">
            <w:pPr>
              <w:contextualSpacing/>
              <w:jc w:val="center"/>
              <w:rPr>
                <w:rFonts w:ascii="Arial" w:hAnsi="Arial" w:cs="Arial"/>
                <w:b/>
                <w:bCs/>
                <w:color w:val="000000" w:themeColor="text1"/>
                <w:shd w:val="clear" w:color="auto" w:fill="FFFFFF"/>
                <w:lang w:val="mn-MN"/>
              </w:rPr>
            </w:pPr>
            <w:r w:rsidRPr="00672CF6">
              <w:rPr>
                <w:rFonts w:ascii="Arial" w:hAnsi="Arial" w:cs="Arial"/>
                <w:b/>
                <w:bCs/>
                <w:color w:val="000000" w:themeColor="text1"/>
                <w:shd w:val="clear" w:color="auto" w:fill="FFFFFF"/>
                <w:lang w:val="mn-MN"/>
              </w:rPr>
              <w:t>нэр</w:t>
            </w:r>
          </w:p>
        </w:tc>
      </w:tr>
      <w:tr w:rsidR="00174548" w:rsidRPr="00B6757D" w14:paraId="6ABFFE9B" w14:textId="77777777" w:rsidTr="004E1F0E">
        <w:tc>
          <w:tcPr>
            <w:tcW w:w="312" w:type="dxa"/>
          </w:tcPr>
          <w:p w14:paraId="17492FD1" w14:textId="77777777" w:rsidR="00174548" w:rsidRPr="00B6757D" w:rsidRDefault="00174548" w:rsidP="004E1F0E">
            <w:pPr>
              <w:contextualSpacing/>
              <w:jc w:val="both"/>
              <w:rPr>
                <w:rFonts w:ascii="Arial" w:hAnsi="Arial" w:cs="Arial"/>
                <w:color w:val="000000" w:themeColor="text1"/>
                <w:shd w:val="clear" w:color="auto" w:fill="FFFFFF"/>
                <w:lang w:val="mn-MN"/>
              </w:rPr>
            </w:pPr>
            <w:r w:rsidRPr="00B6757D">
              <w:rPr>
                <w:rFonts w:ascii="Arial" w:hAnsi="Arial" w:cs="Arial"/>
                <w:color w:val="000000" w:themeColor="text1"/>
                <w:shd w:val="clear" w:color="auto" w:fill="FFFFFF"/>
                <w:lang w:val="mn-MN"/>
              </w:rPr>
              <w:t>1.</w:t>
            </w:r>
          </w:p>
        </w:tc>
        <w:tc>
          <w:tcPr>
            <w:tcW w:w="6237" w:type="dxa"/>
          </w:tcPr>
          <w:p w14:paraId="6DBC12DB" w14:textId="77777777" w:rsidR="00174548" w:rsidRPr="00B6757D" w:rsidRDefault="00174548" w:rsidP="004E1F0E">
            <w:pPr>
              <w:contextualSpacing/>
              <w:jc w:val="both"/>
              <w:rPr>
                <w:rFonts w:ascii="Arial" w:hAnsi="Arial" w:cs="Arial"/>
                <w:color w:val="000000" w:themeColor="text1"/>
                <w:shd w:val="clear" w:color="auto" w:fill="FFFFFF"/>
                <w:lang w:val="mn-MN"/>
              </w:rPr>
            </w:pPr>
            <w:r w:rsidRPr="00B6757D">
              <w:rPr>
                <w:rFonts w:ascii="Arial" w:hAnsi="Arial" w:cs="Arial"/>
                <w:color w:val="000000" w:themeColor="text1"/>
                <w:shd w:val="clear" w:color="auto" w:fill="FFFFFF"/>
                <w:lang w:val="mn-MN"/>
              </w:rPr>
              <w:t xml:space="preserve">Улсын ерөнхий прокурорын газрын дэргэдэх </w:t>
            </w:r>
          </w:p>
          <w:p w14:paraId="632C42A8" w14:textId="77777777" w:rsidR="00174548" w:rsidRPr="00B6757D" w:rsidRDefault="00174548" w:rsidP="004E1F0E">
            <w:pPr>
              <w:contextualSpacing/>
              <w:jc w:val="both"/>
              <w:rPr>
                <w:rFonts w:ascii="Arial" w:hAnsi="Arial" w:cs="Arial"/>
                <w:color w:val="000000" w:themeColor="text1"/>
                <w:shd w:val="clear" w:color="auto" w:fill="FFFFFF"/>
                <w:lang w:val="mn-MN"/>
              </w:rPr>
            </w:pPr>
            <w:r w:rsidRPr="00B6757D">
              <w:rPr>
                <w:rFonts w:ascii="Arial" w:hAnsi="Arial" w:cs="Arial"/>
                <w:color w:val="000000" w:themeColor="text1"/>
                <w:shd w:val="clear" w:color="auto" w:fill="FFFFFF"/>
                <w:lang w:val="mn-MN"/>
              </w:rPr>
              <w:t>сургалт, судалгааны хүрээлэн</w:t>
            </w:r>
          </w:p>
        </w:tc>
        <w:tc>
          <w:tcPr>
            <w:tcW w:w="2552" w:type="dxa"/>
          </w:tcPr>
          <w:p w14:paraId="340624D6" w14:textId="77777777" w:rsidR="00174548" w:rsidRPr="00B6757D" w:rsidRDefault="00174548" w:rsidP="004E1F0E">
            <w:pPr>
              <w:contextualSpacing/>
              <w:jc w:val="center"/>
              <w:rPr>
                <w:rFonts w:ascii="Arial" w:hAnsi="Arial" w:cs="Arial"/>
                <w:color w:val="000000" w:themeColor="text1"/>
                <w:shd w:val="clear" w:color="auto" w:fill="FFFFFF"/>
                <w:lang w:val="mn-MN"/>
              </w:rPr>
            </w:pPr>
            <w:r w:rsidRPr="00B6757D">
              <w:rPr>
                <w:rFonts w:ascii="Arial" w:hAnsi="Arial" w:cs="Arial"/>
                <w:color w:val="000000" w:themeColor="text1"/>
                <w:shd w:val="clear" w:color="auto" w:fill="FFFFFF"/>
                <w:lang w:val="mn-MN"/>
              </w:rPr>
              <w:t>Улаанбаатар хот</w:t>
            </w:r>
          </w:p>
        </w:tc>
      </w:tr>
    </w:tbl>
    <w:p w14:paraId="62976A7B" w14:textId="77777777" w:rsidR="00174548" w:rsidRPr="00B6757D" w:rsidRDefault="00174548" w:rsidP="00174548">
      <w:pPr>
        <w:contextualSpacing/>
        <w:jc w:val="both"/>
        <w:rPr>
          <w:rFonts w:ascii="Arial" w:hAnsi="Arial" w:cs="Arial"/>
          <w:color w:val="000000" w:themeColor="text1"/>
          <w:shd w:val="clear" w:color="auto" w:fill="FFFFFF"/>
          <w:lang w:val="mn-MN"/>
        </w:rPr>
      </w:pP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t xml:space="preserve">         ”</w:t>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r w:rsidRPr="00B6757D">
        <w:rPr>
          <w:rFonts w:ascii="Arial" w:hAnsi="Arial" w:cs="Arial"/>
          <w:color w:val="000000" w:themeColor="text1"/>
          <w:shd w:val="clear" w:color="auto" w:fill="FFFFFF"/>
          <w:lang w:val="mn-MN"/>
        </w:rPr>
        <w:tab/>
      </w:r>
    </w:p>
    <w:p w14:paraId="65DCD948"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r w:rsidRPr="00B6757D">
        <w:rPr>
          <w:rFonts w:ascii="Arial" w:hAnsi="Arial" w:cs="Arial"/>
          <w:color w:val="000000" w:themeColor="text1"/>
          <w:lang w:val="mn-MN"/>
        </w:rPr>
        <w:t xml:space="preserve">2.Энэ тогтоолыг </w:t>
      </w:r>
      <w:r w:rsidRPr="00B6757D">
        <w:rPr>
          <w:rFonts w:ascii="Arial" w:eastAsia="Arial" w:hAnsi="Arial" w:cs="Arial"/>
          <w:color w:val="000000" w:themeColor="text1"/>
          <w:lang w:val="mn-MN"/>
        </w:rPr>
        <w:t>2023 оны 12 дугаар сарын 28-ны</w:t>
      </w:r>
      <w:r w:rsidRPr="00B6757D">
        <w:rPr>
          <w:rFonts w:ascii="Arial" w:hAnsi="Arial" w:cs="Arial"/>
          <w:color w:val="000000" w:themeColor="text1"/>
          <w:lang w:val="mn-MN"/>
        </w:rPr>
        <w:t xml:space="preserve"> өдрөөс эхлэн дагаж мөрдсүгэй.</w:t>
      </w:r>
    </w:p>
    <w:p w14:paraId="64888EDF"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p>
    <w:p w14:paraId="65DDFA8B"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p>
    <w:p w14:paraId="0FE1982A"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p>
    <w:p w14:paraId="5C974BC9"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p>
    <w:p w14:paraId="334357A1" w14:textId="77777777" w:rsidR="00174548" w:rsidRDefault="00174548" w:rsidP="00174548">
      <w:pPr>
        <w:pStyle w:val="western"/>
        <w:spacing w:before="0" w:after="0"/>
        <w:ind w:firstLine="720"/>
        <w:contextualSpacing/>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14:paraId="39858DC3" w14:textId="77777777" w:rsidR="00174548" w:rsidRPr="00B6757D" w:rsidRDefault="00174548" w:rsidP="00174548">
      <w:pPr>
        <w:pStyle w:val="western"/>
        <w:spacing w:before="0" w:after="0"/>
        <w:ind w:firstLine="720"/>
        <w:contextualSpacing/>
        <w:jc w:val="both"/>
        <w:rPr>
          <w:rFonts w:ascii="Arial" w:hAnsi="Arial"/>
          <w:color w:val="000000" w:themeColor="text1"/>
          <w:lang w:val="mn-MN"/>
        </w:rPr>
      </w:pPr>
      <w:r>
        <w:rPr>
          <w:rFonts w:ascii="Arial" w:hAnsi="Arial" w:cs="Arial"/>
          <w:color w:val="000000" w:themeColor="text1"/>
          <w:lang w:val="mn-MN"/>
        </w:rPr>
        <w:tab/>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Г.ЗАНДАНШАТАР </w:t>
      </w:r>
    </w:p>
    <w:p w14:paraId="539C3640" w14:textId="77777777" w:rsidR="00174548" w:rsidRPr="00B6757D" w:rsidRDefault="00174548" w:rsidP="00174548">
      <w:pPr>
        <w:widowControl w:val="0"/>
        <w:ind w:left="2880" w:firstLine="720"/>
        <w:contextualSpacing/>
        <w:rPr>
          <w:rFonts w:ascii="Arial" w:eastAsia="Arial" w:hAnsi="Arial" w:cs="Arial"/>
          <w:color w:val="000000" w:themeColor="text1"/>
          <w:lang w:val="mn-MN"/>
        </w:rPr>
      </w:pPr>
    </w:p>
    <w:p w14:paraId="2ADA08DF" w14:textId="77777777" w:rsidR="00174548" w:rsidRPr="00597C6B" w:rsidRDefault="00174548" w:rsidP="00174548">
      <w:pPr>
        <w:widowControl w:val="0"/>
        <w:ind w:left="2880" w:firstLine="720"/>
        <w:contextualSpacing/>
        <w:rPr>
          <w:rFonts w:ascii="Arial" w:eastAsia="Arial" w:hAnsi="Arial" w:cs="Arial"/>
          <w:color w:val="000000" w:themeColor="text1"/>
        </w:rPr>
      </w:pPr>
    </w:p>
    <w:p w14:paraId="09C48390" w14:textId="509265CB" w:rsidR="00A73FC2" w:rsidRPr="007A4FD6" w:rsidRDefault="00A73FC2" w:rsidP="00174548">
      <w:pPr>
        <w:jc w:val="center"/>
        <w:rPr>
          <w:rFonts w:ascii="Arial" w:hAnsi="Arial" w:cs="Arial"/>
          <w:i/>
          <w:iCs/>
          <w:color w:val="000000"/>
        </w:rPr>
      </w:pPr>
      <w:r w:rsidRPr="007A4FD6">
        <w:rPr>
          <w:rFonts w:ascii="Arial" w:hAnsi="Arial" w:cs="Arial"/>
          <w:b/>
          <w:color w:val="000000"/>
        </w:rPr>
        <w:t xml:space="preserve">   </w:t>
      </w:r>
    </w:p>
    <w:sectPr w:rsidR="00A73FC2" w:rsidRPr="007A4FD6"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0A2536"/>
    <w:rsid w:val="00174548"/>
    <w:rsid w:val="001B701F"/>
    <w:rsid w:val="001E1307"/>
    <w:rsid w:val="0026328D"/>
    <w:rsid w:val="003B4300"/>
    <w:rsid w:val="003C7A0E"/>
    <w:rsid w:val="00404752"/>
    <w:rsid w:val="00571279"/>
    <w:rsid w:val="005C0800"/>
    <w:rsid w:val="0061589D"/>
    <w:rsid w:val="007C5011"/>
    <w:rsid w:val="007E6BC4"/>
    <w:rsid w:val="008724C6"/>
    <w:rsid w:val="00955CA9"/>
    <w:rsid w:val="00A73FC2"/>
    <w:rsid w:val="00B04CD6"/>
    <w:rsid w:val="00B05490"/>
    <w:rsid w:val="00B44F47"/>
    <w:rsid w:val="00B600D3"/>
    <w:rsid w:val="00B95BBE"/>
    <w:rsid w:val="00BB398B"/>
    <w:rsid w:val="00C064B3"/>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174548"/>
    <w:pPr>
      <w:widowControl w:val="0"/>
      <w:suppressAutoHyphens/>
      <w:spacing w:before="280" w:after="119"/>
    </w:pPr>
    <w:rPr>
      <w:rFonts w:ascii="Liberation Serif" w:eastAsia="Droid Sans Fallback" w:hAnsi="Liberation Serif" w:cs="FreeSans"/>
      <w:color w:val="00000A"/>
      <w:kern w:val="1"/>
      <w:lang w:eastAsia="zh-CN" w:bidi="hi-IN"/>
    </w:rPr>
  </w:style>
  <w:style w:type="table" w:styleId="TableGrid">
    <w:name w:val="Table Grid"/>
    <w:basedOn w:val="TableNormal"/>
    <w:uiPriority w:val="39"/>
    <w:rsid w:val="0017454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2024-01-17T09:59:00Z</dcterms:created>
  <dcterms:modified xsi:type="dcterms:W3CDTF">2024-01-24T09:41:00Z</dcterms:modified>
</cp:coreProperties>
</file>