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0065A0" w:rsidRPr="00AF3AAB" w:rsidRDefault="000065A0" w:rsidP="000065A0">
      <w:pPr>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ГАЗРЫН ХЭВЛИЙН ТУХАЙ ХУУЛЬД</w:t>
      </w:r>
    </w:p>
    <w:p w:rsidR="000065A0" w:rsidRPr="00AF3AAB" w:rsidRDefault="000065A0" w:rsidP="000065A0">
      <w:pPr>
        <w:jc w:val="center"/>
        <w:rPr>
          <w:rFonts w:ascii="Arial" w:hAnsi="Arial" w:cs="Arial"/>
          <w:b/>
          <w:noProof/>
          <w:color w:val="000000" w:themeColor="text1"/>
          <w:lang w:val="mn-MN"/>
        </w:rPr>
      </w:pPr>
      <w:r w:rsidRPr="00AF3AAB">
        <w:rPr>
          <w:rFonts w:ascii="Arial" w:hAnsi="Arial" w:cs="Arial"/>
          <w:b/>
          <w:noProof/>
          <w:color w:val="000000" w:themeColor="text1"/>
          <w:lang w:val="mn-MN"/>
        </w:rPr>
        <w:t xml:space="preserve">     НЭМЭЛТ, ӨӨРЧЛӨЛТ ОРУУЛАХ ТУХАЙ</w:t>
      </w:r>
    </w:p>
    <w:p w:rsidR="000065A0" w:rsidRPr="00AF3AAB" w:rsidRDefault="000065A0" w:rsidP="000065A0">
      <w:pPr>
        <w:spacing w:line="360" w:lineRule="auto"/>
        <w:jc w:val="both"/>
        <w:rPr>
          <w:rFonts w:ascii="Arial" w:hAnsi="Arial" w:cs="Arial"/>
          <w:b/>
          <w:bCs/>
          <w:noProof/>
          <w:color w:val="000000" w:themeColor="text1"/>
          <w:lang w:val="mn-MN"/>
        </w:rPr>
      </w:pPr>
    </w:p>
    <w:p w:rsidR="000065A0" w:rsidRPr="00AF3AAB" w:rsidRDefault="000065A0" w:rsidP="000065A0">
      <w:pPr>
        <w:ind w:firstLine="709"/>
        <w:jc w:val="both"/>
        <w:rPr>
          <w:rFonts w:ascii="Arial" w:hAnsi="Arial" w:cs="Arial"/>
          <w:noProof/>
          <w:color w:val="000000" w:themeColor="text1"/>
          <w:lang w:val="mn-MN"/>
        </w:rPr>
      </w:pPr>
      <w:r w:rsidRPr="00AF3AAB">
        <w:rPr>
          <w:rFonts w:ascii="Arial" w:hAnsi="Arial" w:cs="Arial"/>
          <w:b/>
          <w:bCs/>
          <w:noProof/>
          <w:color w:val="000000" w:themeColor="text1"/>
          <w:lang w:val="mn-MN"/>
        </w:rPr>
        <w:t>1 дүгээр зүйл</w:t>
      </w:r>
      <w:r w:rsidRPr="00AF3AAB">
        <w:rPr>
          <w:rFonts w:ascii="Arial" w:hAnsi="Arial" w:cs="Arial"/>
          <w:b/>
          <w:noProof/>
          <w:color w:val="000000" w:themeColor="text1"/>
          <w:lang w:val="mn-MN"/>
        </w:rPr>
        <w:t>.</w:t>
      </w:r>
      <w:r w:rsidRPr="00AF3AAB">
        <w:rPr>
          <w:rFonts w:ascii="Arial" w:hAnsi="Arial" w:cs="Arial"/>
          <w:noProof/>
          <w:color w:val="000000" w:themeColor="text1"/>
          <w:lang w:val="mn-MN"/>
        </w:rPr>
        <w:t>Газрын хэвлийн тухай хуульд доор дурдсан агуулгатай дараах зүйл,  заалт нэмсүгэй:</w:t>
      </w:r>
    </w:p>
    <w:p w:rsidR="000065A0" w:rsidRPr="00AF3AAB" w:rsidRDefault="000065A0" w:rsidP="000065A0">
      <w:pPr>
        <w:ind w:firstLine="720"/>
        <w:jc w:val="both"/>
        <w:rPr>
          <w:rFonts w:ascii="Arial" w:hAnsi="Arial" w:cs="Arial"/>
          <w:noProof/>
          <w:color w:val="000000" w:themeColor="text1"/>
          <w:lang w:val="mn-MN"/>
        </w:rPr>
      </w:pPr>
    </w:p>
    <w:p w:rsidR="000065A0" w:rsidRPr="00AF3AAB" w:rsidRDefault="000065A0" w:rsidP="000065A0">
      <w:pPr>
        <w:ind w:firstLine="720"/>
        <w:jc w:val="both"/>
        <w:rPr>
          <w:rFonts w:ascii="Arial" w:hAnsi="Arial" w:cs="Arial"/>
          <w:noProof/>
          <w:color w:val="000000" w:themeColor="text1"/>
          <w:lang w:val="mn-MN"/>
        </w:rPr>
      </w:pPr>
      <w:r w:rsidRPr="00AF3AAB">
        <w:rPr>
          <w:rFonts w:ascii="Arial" w:hAnsi="Arial" w:cs="Arial"/>
          <w:noProof/>
          <w:color w:val="000000" w:themeColor="text1"/>
          <w:lang w:val="mn-MN"/>
        </w:rPr>
        <w:tab/>
      </w:r>
      <w:r w:rsidRPr="00AF3AAB">
        <w:rPr>
          <w:rFonts w:ascii="Arial" w:hAnsi="Arial" w:cs="Arial"/>
          <w:b/>
          <w:bCs/>
          <w:noProof/>
          <w:color w:val="000000" w:themeColor="text1"/>
          <w:lang w:val="mn-MN"/>
        </w:rPr>
        <w:t>1/7 дугаар зүйлийн 1 дэх хэсгийн 3 дахь заалт</w:t>
      </w:r>
      <w:r w:rsidRPr="00AF3AAB">
        <w:rPr>
          <w:rFonts w:ascii="Arial" w:hAnsi="Arial" w:cs="Arial"/>
          <w:noProof/>
          <w:color w:val="000000" w:themeColor="text1"/>
          <w:lang w:val="mn-MN"/>
        </w:rPr>
        <w:t xml:space="preserve">: </w:t>
      </w:r>
    </w:p>
    <w:p w:rsidR="000065A0" w:rsidRPr="00AF3AAB" w:rsidRDefault="000065A0" w:rsidP="000065A0">
      <w:pPr>
        <w:ind w:firstLine="720"/>
        <w:jc w:val="both"/>
        <w:rPr>
          <w:rFonts w:ascii="Arial" w:hAnsi="Arial" w:cs="Arial"/>
          <w:noProof/>
          <w:color w:val="000000" w:themeColor="text1"/>
          <w:lang w:val="mn-MN"/>
        </w:rPr>
      </w:pPr>
    </w:p>
    <w:p w:rsidR="000065A0" w:rsidRPr="00AF3AAB" w:rsidRDefault="000065A0" w:rsidP="000065A0">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“3/улсын төсвийн хөрөнгөөр гүйцэтгэж байгаа бүх төрлийн геологийн судалгааны ажилд дэмжлэг үзүүлэх.”</w:t>
      </w:r>
    </w:p>
    <w:p w:rsidR="000065A0" w:rsidRPr="00AF3AAB" w:rsidRDefault="000065A0" w:rsidP="000065A0">
      <w:pPr>
        <w:ind w:left="720" w:firstLine="720"/>
        <w:jc w:val="both"/>
        <w:rPr>
          <w:rFonts w:ascii="Arial" w:hAnsi="Arial" w:cs="Arial"/>
          <w:b/>
          <w:bCs/>
          <w:noProof/>
          <w:color w:val="000000" w:themeColor="text1"/>
          <w:lang w:val="mn-MN"/>
        </w:rPr>
      </w:pPr>
    </w:p>
    <w:p w:rsidR="000065A0" w:rsidRPr="00AF3AAB" w:rsidRDefault="000065A0" w:rsidP="000065A0">
      <w:pPr>
        <w:ind w:left="4860" w:hanging="3420"/>
        <w:jc w:val="both"/>
        <w:rPr>
          <w:rFonts w:ascii="Arial" w:hAnsi="Arial" w:cs="Arial"/>
          <w:b/>
          <w:bCs/>
          <w:noProof/>
          <w:color w:val="000000" w:themeColor="text1"/>
          <w:lang w:val="mn-MN"/>
        </w:rPr>
      </w:pPr>
      <w:r w:rsidRPr="00AF3AAB">
        <w:rPr>
          <w:rFonts w:ascii="Arial" w:hAnsi="Arial" w:cs="Arial"/>
          <w:b/>
          <w:bCs/>
          <w:noProof/>
          <w:color w:val="000000" w:themeColor="text1"/>
          <w:lang w:val="mn-MN"/>
        </w:rPr>
        <w:t>2/8</w:t>
      </w:r>
      <w:r w:rsidRPr="00AF3AAB">
        <w:rPr>
          <w:rFonts w:ascii="Arial" w:hAnsi="Arial" w:cs="Arial"/>
          <w:b/>
          <w:bCs/>
          <w:noProof/>
          <w:color w:val="000000" w:themeColor="text1"/>
          <w:vertAlign w:val="superscript"/>
          <w:lang w:val="mn-MN"/>
        </w:rPr>
        <w:t xml:space="preserve">1 </w:t>
      </w:r>
      <w:r w:rsidRPr="00AF3AAB">
        <w:rPr>
          <w:rFonts w:ascii="Arial" w:hAnsi="Arial" w:cs="Arial"/>
          <w:b/>
          <w:bCs/>
          <w:noProof/>
          <w:color w:val="000000" w:themeColor="text1"/>
          <w:lang w:val="mn-MN"/>
        </w:rPr>
        <w:t>дүгээр зүйл</w:t>
      </w:r>
      <w:r w:rsidRPr="00AF3AAB">
        <w:rPr>
          <w:rFonts w:ascii="Arial" w:hAnsi="Arial" w:cs="Arial"/>
          <w:b/>
          <w:noProof/>
          <w:color w:val="000000" w:themeColor="text1"/>
          <w:lang w:val="mn-MN"/>
        </w:rPr>
        <w:t>.</w:t>
      </w:r>
      <w:r w:rsidRPr="00AF3AAB">
        <w:rPr>
          <w:rFonts w:ascii="Arial" w:hAnsi="Arial" w:cs="Arial"/>
          <w:b/>
          <w:bCs/>
          <w:noProof/>
          <w:color w:val="000000" w:themeColor="text1"/>
          <w:lang w:val="mn-MN"/>
        </w:rPr>
        <w:t>Баг, хорооны иргэдийн Нийтийн Хурал болон</w:t>
      </w:r>
    </w:p>
    <w:p w:rsidR="000065A0" w:rsidRPr="00AF3AAB" w:rsidRDefault="000065A0" w:rsidP="000065A0">
      <w:pPr>
        <w:ind w:left="4860" w:hanging="3420"/>
        <w:jc w:val="both"/>
        <w:rPr>
          <w:rFonts w:ascii="Arial" w:hAnsi="Arial" w:cs="Arial"/>
          <w:noProof/>
          <w:color w:val="000000" w:themeColor="text1"/>
          <w:lang w:val="mn-MN"/>
        </w:rPr>
      </w:pPr>
      <w:r w:rsidRPr="00AF3AAB">
        <w:rPr>
          <w:rFonts w:ascii="Arial" w:hAnsi="Arial" w:cs="Arial"/>
          <w:b/>
          <w:bCs/>
          <w:noProof/>
          <w:color w:val="000000" w:themeColor="text1"/>
          <w:lang w:val="mn-MN"/>
        </w:rPr>
        <w:t xml:space="preserve">                                              Засаг даргын бүрэн эрх                                                                                                                                                            </w:t>
      </w:r>
    </w:p>
    <w:p w:rsidR="000065A0" w:rsidRPr="00AF3AAB" w:rsidRDefault="000065A0" w:rsidP="000065A0">
      <w:pPr>
        <w:jc w:val="both"/>
        <w:rPr>
          <w:rFonts w:ascii="Arial" w:hAnsi="Arial" w:cs="Arial"/>
          <w:b/>
          <w:bCs/>
          <w:noProof/>
          <w:color w:val="000000" w:themeColor="text1"/>
          <w:lang w:val="mn-MN"/>
        </w:rPr>
      </w:pPr>
    </w:p>
    <w:p w:rsidR="000065A0" w:rsidRPr="00AF3AAB" w:rsidRDefault="000065A0" w:rsidP="000065A0">
      <w:pPr>
        <w:ind w:firstLine="720"/>
        <w:jc w:val="both"/>
        <w:rPr>
          <w:rFonts w:ascii="Arial" w:hAnsi="Arial" w:cs="Arial"/>
          <w:noProof/>
          <w:color w:val="000000" w:themeColor="text1"/>
          <w:lang w:val="mn-MN"/>
        </w:rPr>
      </w:pPr>
      <w:r w:rsidRPr="00AF3AAB">
        <w:rPr>
          <w:rFonts w:ascii="Arial" w:hAnsi="Arial" w:cs="Arial"/>
          <w:noProof/>
          <w:color w:val="000000" w:themeColor="text1"/>
          <w:lang w:val="mn-MN"/>
        </w:rPr>
        <w:t>“1.Баг, хорооны иргэдийн Нийтийн Хурал газрын хэвлийг судлах, ашиглах, хамгаалах талаар дараах бүрэн эрхийг хэрэгжүүлнэ:</w:t>
      </w:r>
    </w:p>
    <w:p w:rsidR="000065A0" w:rsidRPr="00AF3AAB" w:rsidRDefault="000065A0" w:rsidP="000065A0">
      <w:pPr>
        <w:ind w:firstLine="1440"/>
        <w:jc w:val="both"/>
        <w:rPr>
          <w:rFonts w:ascii="Arial" w:hAnsi="Arial" w:cs="Arial"/>
          <w:noProof/>
          <w:color w:val="000000" w:themeColor="text1"/>
          <w:lang w:val="mn-MN"/>
        </w:rPr>
      </w:pPr>
    </w:p>
    <w:p w:rsidR="000065A0" w:rsidRPr="00AF3AAB" w:rsidRDefault="000065A0" w:rsidP="000065A0">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1/нутаг дэвсгэртээ газрын хэвлийг судлах ашиглах, хамгаалах талаарх төрийн бодлого, газрын хэвлийн тухай хууль тогтоомж, Засгийн газрын шийдвэр болон гаргасан шийдвэрийнхээ биелэлтэд хяналт тавих;</w:t>
      </w:r>
    </w:p>
    <w:p w:rsidR="000065A0" w:rsidRPr="00AF3AAB" w:rsidRDefault="000065A0" w:rsidP="000065A0">
      <w:pPr>
        <w:ind w:left="720" w:firstLine="1440"/>
        <w:jc w:val="both"/>
        <w:rPr>
          <w:rFonts w:ascii="Arial" w:hAnsi="Arial" w:cs="Arial"/>
          <w:noProof/>
          <w:color w:val="000000" w:themeColor="text1"/>
          <w:lang w:val="mn-MN"/>
        </w:rPr>
      </w:pPr>
    </w:p>
    <w:p w:rsidR="000065A0" w:rsidRPr="00AF3AAB" w:rsidRDefault="000065A0" w:rsidP="000065A0">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2/энэ хэсгийн 1-д заасан асуудлын талаар баг, хорооны Засаг даргын тайлан, мэдээллийг хэлэлцэх.</w:t>
      </w:r>
    </w:p>
    <w:p w:rsidR="000065A0" w:rsidRPr="00AF3AAB" w:rsidRDefault="000065A0" w:rsidP="000065A0">
      <w:pPr>
        <w:jc w:val="both"/>
        <w:rPr>
          <w:rFonts w:ascii="Arial" w:hAnsi="Arial" w:cs="Arial"/>
          <w:noProof/>
          <w:color w:val="000000" w:themeColor="text1"/>
          <w:lang w:val="mn-MN"/>
        </w:rPr>
      </w:pPr>
    </w:p>
    <w:p w:rsidR="000065A0" w:rsidRPr="00AF3AAB" w:rsidRDefault="000065A0" w:rsidP="000065A0">
      <w:pPr>
        <w:jc w:val="both"/>
        <w:rPr>
          <w:rFonts w:ascii="Arial" w:hAnsi="Arial" w:cs="Arial"/>
          <w:noProof/>
          <w:color w:val="000000" w:themeColor="text1"/>
          <w:lang w:val="mn-MN"/>
        </w:rPr>
      </w:pPr>
      <w:r w:rsidRPr="00AF3AAB">
        <w:rPr>
          <w:rFonts w:ascii="Arial" w:hAnsi="Arial" w:cs="Arial"/>
          <w:noProof/>
          <w:color w:val="000000" w:themeColor="text1"/>
          <w:lang w:val="mn-MN"/>
        </w:rPr>
        <w:tab/>
        <w:t>2.Баг, хорооны Засаг дарга газрын хэвлийг судлах, ашиглах, хамгаалах талаар дараах бүрэн эрхийг хэрэгжүүлнэ:</w:t>
      </w:r>
    </w:p>
    <w:p w:rsidR="000065A0" w:rsidRPr="00AF3AAB" w:rsidRDefault="000065A0" w:rsidP="000065A0">
      <w:pPr>
        <w:jc w:val="both"/>
        <w:rPr>
          <w:rFonts w:ascii="Arial" w:hAnsi="Arial" w:cs="Arial"/>
          <w:noProof/>
          <w:color w:val="000000" w:themeColor="text1"/>
          <w:lang w:val="mn-MN"/>
        </w:rPr>
      </w:pPr>
    </w:p>
    <w:p w:rsidR="000065A0" w:rsidRPr="00AF3AAB" w:rsidRDefault="000065A0" w:rsidP="000065A0">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1/нутаг дэвсгэртээ газрын хэвлийг судлах, ашиглах, хамгаалах талаарх төрийн бодлогыг хэрэгжүүлж, газрын хэвлийн тухай хууль тогтоомж, Засгийн  газрын болон дээд шатны Засаг даргын шийдвэр, мөн хуульд заасан эрх хэмжээнийхээ хүрээнд баг, хорооны иргэдийн Нийтийн Хурлын шийдвэрийн биелэлтийг зохион байгуулж хангах;</w:t>
      </w:r>
    </w:p>
    <w:p w:rsidR="000065A0" w:rsidRPr="00AF3AAB" w:rsidRDefault="000065A0" w:rsidP="000065A0">
      <w:pPr>
        <w:ind w:firstLine="1440"/>
        <w:jc w:val="both"/>
        <w:rPr>
          <w:rFonts w:ascii="Arial" w:hAnsi="Arial" w:cs="Arial"/>
          <w:noProof/>
          <w:color w:val="000000" w:themeColor="text1"/>
          <w:lang w:val="mn-MN"/>
        </w:rPr>
      </w:pPr>
    </w:p>
    <w:p w:rsidR="000065A0" w:rsidRPr="00AF3AAB" w:rsidRDefault="000065A0" w:rsidP="000065A0">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2/нутаг дэвсгэртээ улсын төсвийн хөрөнгөөр гүйцэтгэх бүх төрлийн геологийн судалгааны ажил болон ашигт малтмалын тусгай зөвшөөрөл бүхий талбайд хувийн хөрөнгөөр гүйцэтгэх хайгуулын ажлаар ашигт малтмалын нөөцийг илрүүлэхэд дэмжлэг үзүүлэх;</w:t>
      </w:r>
      <w:r w:rsidRPr="00AF3AAB">
        <w:rPr>
          <w:rFonts w:ascii="Arial" w:hAnsi="Arial" w:cs="Arial"/>
          <w:noProof/>
          <w:color w:val="000000" w:themeColor="text1"/>
          <w:lang w:val="mn-MN"/>
        </w:rPr>
        <w:tab/>
      </w:r>
    </w:p>
    <w:p w:rsidR="000065A0" w:rsidRPr="00AF3AAB" w:rsidRDefault="000065A0" w:rsidP="000065A0">
      <w:pPr>
        <w:ind w:firstLine="1440"/>
        <w:jc w:val="both"/>
        <w:rPr>
          <w:rFonts w:ascii="Arial" w:hAnsi="Arial" w:cs="Arial"/>
          <w:b/>
          <w:bCs/>
          <w:noProof/>
          <w:color w:val="000000" w:themeColor="text1"/>
          <w:lang w:val="mn-MN"/>
        </w:rPr>
      </w:pPr>
    </w:p>
    <w:p w:rsidR="000065A0" w:rsidRPr="00AF3AAB" w:rsidRDefault="000065A0" w:rsidP="000065A0">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3/хууль тогтоомжид заасан бусад бүрэн эрх.”</w:t>
      </w:r>
    </w:p>
    <w:p w:rsidR="000065A0" w:rsidRPr="00AF3AAB" w:rsidRDefault="000065A0" w:rsidP="000065A0">
      <w:pPr>
        <w:ind w:firstLine="720"/>
        <w:jc w:val="both"/>
        <w:rPr>
          <w:rFonts w:ascii="Arial" w:hAnsi="Arial" w:cs="Arial"/>
          <w:noProof/>
          <w:color w:val="000000" w:themeColor="text1"/>
          <w:lang w:val="mn-MN"/>
        </w:rPr>
      </w:pPr>
    </w:p>
    <w:p w:rsidR="000065A0" w:rsidRPr="00AF3AAB" w:rsidRDefault="000065A0" w:rsidP="000065A0">
      <w:pPr>
        <w:ind w:firstLine="709"/>
        <w:jc w:val="both"/>
        <w:rPr>
          <w:rFonts w:ascii="Arial" w:hAnsi="Arial" w:cs="Arial"/>
          <w:noProof/>
          <w:color w:val="000000" w:themeColor="text1"/>
          <w:lang w:val="mn-MN"/>
        </w:rPr>
      </w:pPr>
      <w:r w:rsidRPr="00AF3AAB">
        <w:rPr>
          <w:rFonts w:ascii="Arial" w:hAnsi="Arial" w:cs="Arial"/>
          <w:b/>
          <w:noProof/>
          <w:color w:val="000000" w:themeColor="text1"/>
          <w:lang w:val="mn-MN"/>
        </w:rPr>
        <w:t>2 дугаар зүйл.</w:t>
      </w:r>
      <w:r w:rsidRPr="00AF3AAB">
        <w:rPr>
          <w:rFonts w:ascii="Arial" w:hAnsi="Arial" w:cs="Arial"/>
          <w:bCs/>
          <w:noProof/>
          <w:color w:val="000000" w:themeColor="text1"/>
          <w:lang w:val="mn-MN"/>
        </w:rPr>
        <w:t xml:space="preserve">Газрын хэвлийн тухай хуулийн 7 дугаар зүйлийн 1 дэх хэсэг, мөн хэсгийн 1 дэх заалт, мөн зүйлийн 2 дахь хэсэг, мөн хэсгийн 1 дэх заалт, 8 дугаар </w:t>
      </w:r>
      <w:r w:rsidRPr="00AF3AAB">
        <w:rPr>
          <w:rFonts w:ascii="Arial" w:hAnsi="Arial" w:cs="Arial"/>
          <w:bCs/>
          <w:noProof/>
          <w:color w:val="000000" w:themeColor="text1"/>
          <w:lang w:val="mn-MN"/>
        </w:rPr>
        <w:lastRenderedPageBreak/>
        <w:t xml:space="preserve">зүйлийн 1 дэх хэсэг, мөн зүйлийн 2 дахь хэсэг, мөн хэсгийн 1 дэх заалтын “газрын хэвлийг” гэсний дараа “судлах,” гэж тус тус нэмсүгэй. </w:t>
      </w:r>
    </w:p>
    <w:p w:rsidR="000065A0" w:rsidRPr="00AF3AAB" w:rsidRDefault="000065A0" w:rsidP="000065A0">
      <w:pPr>
        <w:ind w:firstLine="720"/>
        <w:jc w:val="both"/>
        <w:rPr>
          <w:rFonts w:ascii="Arial" w:hAnsi="Arial" w:cs="Arial"/>
          <w:b/>
          <w:bCs/>
          <w:noProof/>
          <w:color w:val="000000" w:themeColor="text1"/>
          <w:lang w:val="mn-MN"/>
        </w:rPr>
      </w:pPr>
    </w:p>
    <w:p w:rsidR="000065A0" w:rsidRPr="00AF3AAB" w:rsidRDefault="000065A0" w:rsidP="000065A0">
      <w:pPr>
        <w:ind w:firstLine="709"/>
        <w:jc w:val="both"/>
        <w:rPr>
          <w:rFonts w:ascii="Arial" w:hAnsi="Arial" w:cs="Arial"/>
          <w:bCs/>
          <w:noProof/>
          <w:color w:val="000000" w:themeColor="text1"/>
          <w:lang w:val="mn-MN"/>
        </w:rPr>
      </w:pPr>
      <w:r w:rsidRPr="00AF3AAB">
        <w:rPr>
          <w:rFonts w:ascii="Arial" w:hAnsi="Arial" w:cs="Arial"/>
          <w:b/>
          <w:bCs/>
          <w:noProof/>
          <w:color w:val="000000" w:themeColor="text1"/>
          <w:lang w:val="mn-MN"/>
        </w:rPr>
        <w:t>3 дугаар зүйл</w:t>
      </w:r>
      <w:r w:rsidRPr="00AF3AAB">
        <w:rPr>
          <w:rFonts w:ascii="Arial" w:hAnsi="Arial" w:cs="Arial"/>
          <w:b/>
          <w:noProof/>
          <w:color w:val="000000" w:themeColor="text1"/>
          <w:lang w:val="mn-MN"/>
        </w:rPr>
        <w:t>.</w:t>
      </w:r>
      <w:r w:rsidRPr="00AF3AAB">
        <w:rPr>
          <w:rFonts w:ascii="Arial" w:hAnsi="Arial" w:cs="Arial"/>
          <w:bCs/>
          <w:noProof/>
          <w:color w:val="000000" w:themeColor="text1"/>
          <w:lang w:val="mn-MN"/>
        </w:rPr>
        <w:t>Газрын хэвлийн тухай хуулийн дараах заалтыг доор дурдсанаар өөрчлөн найруулсугай:</w:t>
      </w:r>
    </w:p>
    <w:p w:rsidR="000065A0" w:rsidRPr="00AF3AAB" w:rsidRDefault="000065A0" w:rsidP="000065A0">
      <w:pPr>
        <w:ind w:firstLine="720"/>
        <w:jc w:val="both"/>
        <w:rPr>
          <w:rFonts w:ascii="Arial" w:hAnsi="Arial" w:cs="Arial"/>
          <w:b/>
          <w:noProof/>
          <w:color w:val="000000" w:themeColor="text1"/>
          <w:lang w:val="mn-MN"/>
        </w:rPr>
      </w:pPr>
    </w:p>
    <w:p w:rsidR="000065A0" w:rsidRPr="00AF3AAB" w:rsidRDefault="000065A0" w:rsidP="000065A0">
      <w:pPr>
        <w:ind w:left="720" w:firstLine="720"/>
        <w:jc w:val="both"/>
        <w:rPr>
          <w:rFonts w:ascii="Arial" w:hAnsi="Arial" w:cs="Arial"/>
          <w:b/>
          <w:noProof/>
          <w:color w:val="000000" w:themeColor="text1"/>
          <w:lang w:val="mn-MN"/>
        </w:rPr>
      </w:pPr>
      <w:r w:rsidRPr="00AF3AAB">
        <w:rPr>
          <w:rFonts w:ascii="Arial" w:hAnsi="Arial" w:cs="Arial"/>
          <w:b/>
          <w:bCs/>
          <w:noProof/>
          <w:color w:val="000000" w:themeColor="text1"/>
          <w:lang w:val="mn-MN"/>
        </w:rPr>
        <w:t>1/7</w:t>
      </w:r>
      <w:r w:rsidRPr="00AF3AAB">
        <w:rPr>
          <w:rFonts w:ascii="Arial" w:hAnsi="Arial" w:cs="Arial"/>
          <w:b/>
          <w:noProof/>
          <w:color w:val="000000" w:themeColor="text1"/>
          <w:lang w:val="mn-MN"/>
        </w:rPr>
        <w:t xml:space="preserve"> дугаар зүйлийн 2 дахь хэсгийн 3 дахь заалт: </w:t>
      </w:r>
    </w:p>
    <w:p w:rsidR="000065A0" w:rsidRPr="00AF3AAB" w:rsidRDefault="000065A0" w:rsidP="000065A0">
      <w:pPr>
        <w:ind w:firstLine="720"/>
        <w:jc w:val="both"/>
        <w:rPr>
          <w:rFonts w:ascii="Arial" w:hAnsi="Arial" w:cs="Arial"/>
          <w:b/>
          <w:noProof/>
          <w:color w:val="000000" w:themeColor="text1"/>
          <w:lang w:val="mn-MN"/>
        </w:rPr>
      </w:pPr>
    </w:p>
    <w:p w:rsidR="000065A0" w:rsidRPr="00AF3AAB" w:rsidRDefault="000065A0" w:rsidP="000065A0">
      <w:pPr>
        <w:ind w:firstLine="1440"/>
        <w:jc w:val="both"/>
        <w:rPr>
          <w:rFonts w:ascii="Arial" w:hAnsi="Arial" w:cs="Arial"/>
          <w:bCs/>
          <w:noProof/>
          <w:color w:val="000000" w:themeColor="text1"/>
          <w:lang w:val="mn-MN"/>
        </w:rPr>
      </w:pPr>
      <w:r w:rsidRPr="00AF3AAB">
        <w:rPr>
          <w:rFonts w:ascii="Arial" w:hAnsi="Arial" w:cs="Arial"/>
          <w:bCs/>
          <w:noProof/>
          <w:color w:val="000000" w:themeColor="text1"/>
          <w:lang w:val="mn-MN"/>
        </w:rPr>
        <w:t>“3/нутаг дэвсгэртээ улсын төсвийн хөрөнгөөр гүйцэтгэж байгаа бүх төрлийн геологийн судалгааны ажилд дэмжлэг үзүүлэх;”</w:t>
      </w:r>
    </w:p>
    <w:p w:rsidR="000065A0" w:rsidRPr="00AF3AAB" w:rsidRDefault="000065A0" w:rsidP="000065A0">
      <w:pPr>
        <w:ind w:firstLine="720"/>
        <w:jc w:val="both"/>
        <w:rPr>
          <w:rFonts w:ascii="Arial" w:hAnsi="Arial" w:cs="Arial"/>
          <w:bCs/>
          <w:noProof/>
          <w:color w:val="000000" w:themeColor="text1"/>
          <w:lang w:val="mn-MN"/>
        </w:rPr>
      </w:pPr>
      <w:r w:rsidRPr="00AF3AAB">
        <w:rPr>
          <w:rFonts w:ascii="Arial" w:hAnsi="Arial" w:cs="Arial"/>
          <w:bCs/>
          <w:noProof/>
          <w:color w:val="000000" w:themeColor="text1"/>
          <w:lang w:val="mn-MN"/>
        </w:rPr>
        <w:tab/>
      </w:r>
    </w:p>
    <w:p w:rsidR="000065A0" w:rsidRPr="00AF3AAB" w:rsidRDefault="000065A0" w:rsidP="000065A0">
      <w:pPr>
        <w:ind w:left="720" w:firstLine="720"/>
        <w:jc w:val="both"/>
        <w:rPr>
          <w:rFonts w:ascii="Arial" w:hAnsi="Arial" w:cs="Arial"/>
          <w:b/>
          <w:bCs/>
          <w:noProof/>
          <w:color w:val="000000" w:themeColor="text1"/>
          <w:lang w:val="mn-MN"/>
        </w:rPr>
      </w:pPr>
      <w:r w:rsidRPr="00AF3AAB">
        <w:rPr>
          <w:rFonts w:ascii="Arial" w:hAnsi="Arial" w:cs="Arial"/>
          <w:b/>
          <w:noProof/>
          <w:color w:val="000000" w:themeColor="text1"/>
          <w:lang w:val="mn-MN"/>
        </w:rPr>
        <w:t>2</w:t>
      </w:r>
      <w:r w:rsidRPr="00AF3AAB">
        <w:rPr>
          <w:rFonts w:ascii="Arial" w:hAnsi="Arial" w:cs="Arial"/>
          <w:b/>
          <w:bCs/>
          <w:noProof/>
          <w:color w:val="000000" w:themeColor="text1"/>
          <w:lang w:val="mn-MN"/>
        </w:rPr>
        <w:t xml:space="preserve">/8 дугаар зүйлийн 2 дахь хэсгийн 2, 3 дахь заалт: </w:t>
      </w:r>
    </w:p>
    <w:p w:rsidR="000065A0" w:rsidRPr="00AF3AAB" w:rsidRDefault="000065A0" w:rsidP="000065A0">
      <w:pPr>
        <w:ind w:firstLine="720"/>
        <w:jc w:val="both"/>
        <w:rPr>
          <w:rFonts w:ascii="Arial" w:hAnsi="Arial" w:cs="Arial"/>
          <w:bCs/>
          <w:noProof/>
          <w:color w:val="000000" w:themeColor="text1"/>
          <w:lang w:val="mn-MN"/>
        </w:rPr>
      </w:pPr>
    </w:p>
    <w:p w:rsidR="000065A0" w:rsidRPr="00AF3AAB" w:rsidRDefault="000065A0" w:rsidP="000065A0">
      <w:pPr>
        <w:ind w:firstLine="1440"/>
        <w:jc w:val="both"/>
        <w:rPr>
          <w:rFonts w:ascii="Arial" w:hAnsi="Arial" w:cs="Arial"/>
          <w:bCs/>
          <w:noProof/>
          <w:color w:val="000000" w:themeColor="text1"/>
          <w:lang w:val="mn-MN"/>
        </w:rPr>
      </w:pPr>
      <w:r w:rsidRPr="00AF3AAB">
        <w:rPr>
          <w:rFonts w:ascii="Arial" w:hAnsi="Arial" w:cs="Arial"/>
          <w:bCs/>
          <w:noProof/>
          <w:color w:val="000000" w:themeColor="text1"/>
          <w:lang w:val="mn-MN"/>
        </w:rPr>
        <w:t>“2/нутаг дэвсгэртээ газрын хэвлийн баялгийг ашиглуулахтай холбогдуулан эдэлбэр газрыг Ашигт малтмалын болон Газрын тухай хуульд нийцүүлэн олгох;</w:t>
      </w:r>
    </w:p>
    <w:p w:rsidR="000065A0" w:rsidRPr="00AF3AAB" w:rsidRDefault="000065A0" w:rsidP="000065A0">
      <w:pPr>
        <w:ind w:firstLine="1440"/>
        <w:jc w:val="both"/>
        <w:rPr>
          <w:rFonts w:ascii="Arial" w:hAnsi="Arial" w:cs="Arial"/>
          <w:b/>
          <w:bCs/>
          <w:noProof/>
          <w:color w:val="000000" w:themeColor="text1"/>
          <w:lang w:val="mn-MN"/>
        </w:rPr>
      </w:pPr>
    </w:p>
    <w:p w:rsidR="000065A0" w:rsidRPr="00AF3AAB" w:rsidRDefault="000065A0" w:rsidP="000065A0">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3/нутаг дэвсгэртээ улсын төсвийн хөрөнгөөр гүйцэтгэх бүх төрлийн геологийн судалгааны ажил болон ашигт малтмалын тусгай зөвшөөрөл бүхий талбайд хувийн хөрөнгөөр гүйцэтгэх хайгуулын ажлаар ашигт малтмалын нөөцийг илрүүлэхэд дэмжлэг үзүүлэх;”</w:t>
      </w:r>
    </w:p>
    <w:p w:rsidR="000065A0" w:rsidRPr="00AF3AAB" w:rsidRDefault="000065A0" w:rsidP="000065A0">
      <w:pPr>
        <w:ind w:firstLine="1440"/>
        <w:jc w:val="both"/>
        <w:rPr>
          <w:rFonts w:ascii="Arial" w:hAnsi="Arial" w:cs="Arial"/>
          <w:noProof/>
          <w:color w:val="000000" w:themeColor="text1"/>
          <w:lang w:val="mn-MN"/>
        </w:rPr>
      </w:pPr>
    </w:p>
    <w:p w:rsidR="000065A0" w:rsidRPr="00AF3AAB" w:rsidRDefault="000065A0" w:rsidP="000065A0">
      <w:pPr>
        <w:ind w:firstLine="1440"/>
        <w:jc w:val="both"/>
        <w:rPr>
          <w:rFonts w:ascii="Arial" w:hAnsi="Arial" w:cs="Arial"/>
          <w:b/>
          <w:noProof/>
          <w:color w:val="000000" w:themeColor="text1"/>
          <w:lang w:val="mn-MN"/>
        </w:rPr>
      </w:pPr>
      <w:r w:rsidRPr="00AF3AAB">
        <w:rPr>
          <w:rFonts w:ascii="Arial" w:hAnsi="Arial" w:cs="Arial"/>
          <w:b/>
          <w:noProof/>
          <w:color w:val="000000" w:themeColor="text1"/>
          <w:lang w:val="mn-MN"/>
        </w:rPr>
        <w:t>3/8 дугаар зүйлийн 2 дахь хэсгийн 5 дахь заалт</w:t>
      </w:r>
      <w:r w:rsidRPr="00AF3AAB">
        <w:rPr>
          <w:rFonts w:ascii="Arial" w:hAnsi="Arial" w:cs="Arial"/>
          <w:b/>
          <w:bCs/>
          <w:noProof/>
          <w:color w:val="000000" w:themeColor="text1"/>
          <w:lang w:val="mn-MN"/>
        </w:rPr>
        <w:t>:</w:t>
      </w:r>
    </w:p>
    <w:p w:rsidR="000065A0" w:rsidRPr="00AF3AAB" w:rsidRDefault="000065A0" w:rsidP="000065A0">
      <w:pPr>
        <w:jc w:val="both"/>
        <w:rPr>
          <w:rFonts w:ascii="Arial" w:hAnsi="Arial" w:cs="Arial"/>
          <w:b/>
          <w:bCs/>
          <w:noProof/>
          <w:color w:val="000000" w:themeColor="text1"/>
          <w:lang w:val="mn-MN"/>
        </w:rPr>
      </w:pPr>
      <w:r w:rsidRPr="00AF3AAB">
        <w:rPr>
          <w:rFonts w:ascii="Arial" w:hAnsi="Arial" w:cs="Arial"/>
          <w:b/>
          <w:bCs/>
          <w:noProof/>
          <w:color w:val="000000" w:themeColor="text1"/>
          <w:lang w:val="mn-MN"/>
        </w:rPr>
        <w:tab/>
      </w:r>
    </w:p>
    <w:p w:rsidR="000065A0" w:rsidRPr="00AF3AAB" w:rsidRDefault="000065A0" w:rsidP="000065A0">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“5/нутаг дэвсгэртээ Монгол Улсын засаг захиргаа, нутаг дэвсгэрийн нэгж, түүний удирдлагын тухай хуулийн 59.1.17, 59.1.18, 62.1.7-д заасан эрхийг хэрэгжүүлэх;”</w:t>
      </w:r>
    </w:p>
    <w:p w:rsidR="000065A0" w:rsidRPr="00AF3AAB" w:rsidRDefault="000065A0" w:rsidP="000065A0">
      <w:pPr>
        <w:ind w:firstLine="1440"/>
        <w:jc w:val="both"/>
        <w:rPr>
          <w:rFonts w:ascii="Arial" w:hAnsi="Arial" w:cs="Arial"/>
          <w:noProof/>
          <w:color w:val="000000" w:themeColor="text1"/>
          <w:lang w:val="mn-MN"/>
        </w:rPr>
      </w:pPr>
    </w:p>
    <w:p w:rsidR="000065A0" w:rsidRPr="00AF3AAB" w:rsidRDefault="000065A0" w:rsidP="000065A0">
      <w:pPr>
        <w:ind w:firstLine="1440"/>
        <w:jc w:val="both"/>
        <w:rPr>
          <w:rFonts w:ascii="Arial" w:hAnsi="Arial" w:cs="Arial"/>
          <w:noProof/>
          <w:color w:val="000000" w:themeColor="text1"/>
          <w:lang w:val="mn-MN"/>
        </w:rPr>
      </w:pPr>
    </w:p>
    <w:p w:rsidR="000065A0" w:rsidRPr="00AF3AAB" w:rsidRDefault="000065A0" w:rsidP="000065A0">
      <w:pPr>
        <w:ind w:firstLine="1440"/>
        <w:jc w:val="both"/>
        <w:rPr>
          <w:rFonts w:ascii="Arial" w:hAnsi="Arial" w:cs="Arial"/>
          <w:noProof/>
          <w:color w:val="000000" w:themeColor="text1"/>
          <w:lang w:val="mn-MN"/>
        </w:rPr>
      </w:pPr>
    </w:p>
    <w:p w:rsidR="000065A0" w:rsidRPr="00AF3AAB" w:rsidRDefault="000065A0" w:rsidP="000065A0">
      <w:pPr>
        <w:ind w:firstLine="1440"/>
        <w:jc w:val="both"/>
        <w:rPr>
          <w:rFonts w:ascii="Arial" w:hAnsi="Arial" w:cs="Arial"/>
          <w:noProof/>
          <w:color w:val="000000" w:themeColor="text1"/>
          <w:lang w:val="mn-MN"/>
        </w:rPr>
      </w:pPr>
    </w:p>
    <w:p w:rsidR="000065A0" w:rsidRPr="00AF3AAB" w:rsidRDefault="000065A0" w:rsidP="000065A0">
      <w:pPr>
        <w:ind w:left="720" w:firstLine="720"/>
        <w:jc w:val="both"/>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0065A0" w:rsidRDefault="000065A0" w:rsidP="000065A0">
      <w:pPr>
        <w:ind w:firstLine="1440"/>
        <w:jc w:val="both"/>
        <w:rPr>
          <w:rStyle w:val="Strong"/>
          <w:rFonts w:ascii="Arial" w:hAnsi="Arial" w:cs="Arial"/>
          <w:b w:val="0"/>
          <w:bCs w:val="0"/>
          <w:noProof/>
          <w:color w:val="000000" w:themeColor="text1"/>
          <w:lang w:val="mn-MN"/>
        </w:rPr>
      </w:pPr>
      <w:r w:rsidRPr="00AF3AAB">
        <w:rPr>
          <w:rFonts w:ascii="Arial" w:hAnsi="Arial" w:cs="Arial"/>
          <w:noProof/>
          <w:color w:val="000000" w:themeColor="text1"/>
          <w:lang w:val="mn-MN"/>
        </w:rPr>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0065A0"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798F" w:rsidRDefault="00F7798F" w:rsidP="00B546B3">
      <w:r>
        <w:separator/>
      </w:r>
    </w:p>
  </w:endnote>
  <w:endnote w:type="continuationSeparator" w:id="0">
    <w:p w:rsidR="00F7798F" w:rsidRDefault="00F7798F"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798F" w:rsidRDefault="00F7798F" w:rsidP="00B546B3">
      <w:r>
        <w:separator/>
      </w:r>
    </w:p>
  </w:footnote>
  <w:footnote w:type="continuationSeparator" w:id="0">
    <w:p w:rsidR="00F7798F" w:rsidRDefault="00F7798F"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4626"/>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7798F"/>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2022-05-18T04:07:00Z</dcterms:created>
  <dcterms:modified xsi:type="dcterms:W3CDTF">2022-05-18T04:07:00Z</dcterms:modified>
</cp:coreProperties>
</file>