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0AD93BD2" w14:textId="77777777" w:rsidR="009811C6" w:rsidRPr="00707BC7" w:rsidRDefault="009811C6" w:rsidP="009811C6">
      <w:pPr>
        <w:contextualSpacing/>
        <w:jc w:val="center"/>
        <w:rPr>
          <w:rFonts w:ascii="Arial" w:hAnsi="Arial" w:cs="Arial"/>
          <w:b/>
          <w:bCs/>
          <w:lang w:val="mn-MN"/>
        </w:rPr>
      </w:pPr>
      <w:r w:rsidRPr="00707BC7">
        <w:rPr>
          <w:rFonts w:ascii="Arial" w:hAnsi="Arial" w:cs="Arial"/>
          <w:b/>
          <w:bCs/>
          <w:lang w:val="mn-MN"/>
        </w:rPr>
        <w:t xml:space="preserve">    СТАНДАРТЧИЛАЛ, ТЕХНИКИЙН</w:t>
      </w:r>
    </w:p>
    <w:p w14:paraId="4AD88DA7" w14:textId="77777777" w:rsidR="009811C6" w:rsidRPr="00707BC7" w:rsidRDefault="009811C6" w:rsidP="009811C6">
      <w:pPr>
        <w:contextualSpacing/>
        <w:jc w:val="center"/>
        <w:rPr>
          <w:rFonts w:ascii="Arial" w:hAnsi="Arial" w:cs="Arial"/>
          <w:lang w:val="mn-MN"/>
        </w:rPr>
      </w:pPr>
      <w:r w:rsidRPr="00707BC7">
        <w:rPr>
          <w:rFonts w:ascii="Arial" w:hAnsi="Arial" w:cs="Arial"/>
          <w:b/>
          <w:bCs/>
          <w:lang w:val="mn-MN"/>
        </w:rPr>
        <w:t xml:space="preserve">    ЗОХИЦУУЛАЛТ, ТОХИРЛЫН</w:t>
      </w:r>
    </w:p>
    <w:p w14:paraId="70BF1981" w14:textId="77777777" w:rsidR="009811C6" w:rsidRPr="00707BC7" w:rsidRDefault="009811C6" w:rsidP="009811C6">
      <w:pPr>
        <w:contextualSpacing/>
        <w:jc w:val="center"/>
        <w:rPr>
          <w:rFonts w:ascii="Arial" w:hAnsi="Arial" w:cs="Arial"/>
          <w:b/>
          <w:bCs/>
          <w:lang w:val="mn-MN"/>
        </w:rPr>
      </w:pPr>
      <w:r w:rsidRPr="00707BC7">
        <w:rPr>
          <w:rFonts w:ascii="Arial" w:hAnsi="Arial" w:cs="Arial"/>
          <w:b/>
          <w:bCs/>
          <w:lang w:val="mn-MN"/>
        </w:rPr>
        <w:t xml:space="preserve">   ҮНЭЛГЭЭНИЙ ИТГЭМЖЛЭЛИЙН</w:t>
      </w:r>
    </w:p>
    <w:p w14:paraId="6E4261E5" w14:textId="77777777" w:rsidR="009811C6" w:rsidRPr="00707BC7" w:rsidRDefault="009811C6" w:rsidP="009811C6">
      <w:pPr>
        <w:contextualSpacing/>
        <w:jc w:val="center"/>
        <w:rPr>
          <w:rFonts w:ascii="Arial" w:hAnsi="Arial" w:cs="Arial"/>
          <w:b/>
          <w:bCs/>
          <w:lang w:val="mn-MN"/>
        </w:rPr>
      </w:pPr>
      <w:r w:rsidRPr="00707BC7">
        <w:rPr>
          <w:rFonts w:ascii="Arial" w:hAnsi="Arial" w:cs="Arial"/>
          <w:b/>
          <w:bCs/>
          <w:lang w:val="mn-MN"/>
        </w:rPr>
        <w:t xml:space="preserve">   ТУХАЙ ХУУЛЬД НЭМЭЛТ</w:t>
      </w:r>
    </w:p>
    <w:p w14:paraId="03B28E19" w14:textId="77777777" w:rsidR="009811C6" w:rsidRPr="00707BC7" w:rsidRDefault="009811C6" w:rsidP="009811C6">
      <w:pPr>
        <w:contextualSpacing/>
        <w:jc w:val="center"/>
        <w:rPr>
          <w:rFonts w:ascii="Arial" w:hAnsi="Arial" w:cs="Arial"/>
          <w:lang w:val="mn-MN"/>
        </w:rPr>
      </w:pPr>
      <w:r w:rsidRPr="00707BC7">
        <w:rPr>
          <w:rFonts w:ascii="Arial" w:hAnsi="Arial" w:cs="Arial"/>
          <w:b/>
          <w:bCs/>
          <w:lang w:val="mn-MN"/>
        </w:rPr>
        <w:t xml:space="preserve">   ОРУУЛАХ ТУХАЙ</w:t>
      </w:r>
    </w:p>
    <w:p w14:paraId="74020AF4" w14:textId="77777777" w:rsidR="009811C6" w:rsidRPr="00707BC7" w:rsidRDefault="009811C6" w:rsidP="009811C6">
      <w:pPr>
        <w:spacing w:line="360" w:lineRule="auto"/>
        <w:contextualSpacing/>
        <w:rPr>
          <w:rFonts w:ascii="Arial" w:hAnsi="Arial" w:cs="Arial"/>
          <w:lang w:val="mn-MN"/>
        </w:rPr>
      </w:pPr>
    </w:p>
    <w:p w14:paraId="0D6B237C" w14:textId="77777777" w:rsidR="009811C6" w:rsidRPr="00707BC7" w:rsidRDefault="009811C6" w:rsidP="009811C6">
      <w:pPr>
        <w:ind w:firstLine="720"/>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Стандартчилал, техникийн зохицуулалт, тохирлын үнэлгээний итгэмжлэлийн тухай хуульд доор дурдсан агуулгатай дараах хэсэг, тайлбар нэмсүгэй:</w:t>
      </w:r>
    </w:p>
    <w:p w14:paraId="623D14CD" w14:textId="77777777" w:rsidR="009811C6" w:rsidRPr="00707BC7" w:rsidRDefault="009811C6" w:rsidP="009811C6">
      <w:pPr>
        <w:contextualSpacing/>
        <w:jc w:val="both"/>
        <w:rPr>
          <w:rFonts w:ascii="Arial" w:hAnsi="Arial" w:cs="Arial"/>
          <w:lang w:val="mn-MN"/>
        </w:rPr>
      </w:pPr>
    </w:p>
    <w:p w14:paraId="5C53E49F" w14:textId="77777777" w:rsidR="009811C6" w:rsidRPr="00707BC7" w:rsidRDefault="009811C6" w:rsidP="009811C6">
      <w:pPr>
        <w:ind w:left="720" w:firstLine="720"/>
        <w:contextualSpacing/>
        <w:jc w:val="both"/>
        <w:rPr>
          <w:rFonts w:ascii="Arial" w:hAnsi="Arial" w:cs="Arial"/>
          <w:lang w:val="mn-MN"/>
        </w:rPr>
      </w:pPr>
      <w:r w:rsidRPr="00707BC7">
        <w:rPr>
          <w:rFonts w:ascii="Arial" w:hAnsi="Arial" w:cs="Arial"/>
          <w:b/>
          <w:bCs/>
          <w:lang w:val="mn-MN"/>
        </w:rPr>
        <w:t>1/9 дүгээр зүйлийн 9.5, 9.6 дахь хэсэг:</w:t>
      </w:r>
    </w:p>
    <w:p w14:paraId="19769409" w14:textId="77777777" w:rsidR="009811C6" w:rsidRPr="00707BC7" w:rsidRDefault="009811C6" w:rsidP="009811C6">
      <w:pPr>
        <w:ind w:firstLine="720"/>
        <w:contextualSpacing/>
        <w:jc w:val="both"/>
        <w:rPr>
          <w:rFonts w:ascii="Arial" w:hAnsi="Arial" w:cs="Arial"/>
          <w:strike/>
          <w:lang w:val="mn-MN"/>
        </w:rPr>
      </w:pPr>
    </w:p>
    <w:p w14:paraId="7519E2CD" w14:textId="77777777" w:rsidR="009811C6" w:rsidRPr="00707BC7" w:rsidRDefault="009811C6" w:rsidP="009811C6">
      <w:pPr>
        <w:ind w:firstLine="720"/>
        <w:jc w:val="both"/>
        <w:rPr>
          <w:rFonts w:ascii="Arial" w:hAnsi="Arial" w:cs="Arial"/>
          <w:lang w:val="mn-MN"/>
        </w:rPr>
      </w:pPr>
      <w:r w:rsidRPr="00707BC7">
        <w:rPr>
          <w:rFonts w:ascii="Arial" w:hAnsi="Arial" w:cs="Arial"/>
          <w:lang w:val="mn-MN"/>
        </w:rPr>
        <w:t>“9.5.Зөвшөөрлийн тухай хуулийн 8.1 дүгээр зүйлийн 1 дэх хэсгийн 1.2, 1.3, 1.5, 1.12, 1.13, 1.15, 1.16, 1.17, 1.18, 1.24, 1.25, 1.29 дэх заалт, 7 дахь хэсгийн 7.2, 7.4, 7.6 дахь заалт, 11 дэх хэсгийн 11.7 дахь заалтад заасан тусгай зөвшөөрлийн болон 8.2 дугаар зүйлийн 1 дэх хэсгийн 1.3, 1.9, 1.11 дэх заалт, 7 дахь хэсгийн 7.1 дэх заалтад заасан энгийн зөвшөөрлийн үндсэн дээр эрхлэх үйл ажиллагаанд холбогдох техникийн зохицуулалтыг мөрдөнө.</w:t>
      </w:r>
    </w:p>
    <w:p w14:paraId="7D1EC1E3" w14:textId="77777777" w:rsidR="009811C6" w:rsidRPr="00707BC7" w:rsidRDefault="009811C6" w:rsidP="009811C6">
      <w:pPr>
        <w:contextualSpacing/>
        <w:jc w:val="both"/>
        <w:rPr>
          <w:rFonts w:ascii="Arial" w:hAnsi="Arial" w:cs="Arial"/>
          <w:strike/>
          <w:lang w:val="mn-MN"/>
        </w:rPr>
      </w:pPr>
    </w:p>
    <w:p w14:paraId="20012591" w14:textId="77777777" w:rsidR="009811C6" w:rsidRPr="00707BC7" w:rsidRDefault="009811C6" w:rsidP="009811C6">
      <w:pPr>
        <w:ind w:firstLine="720"/>
        <w:contextualSpacing/>
        <w:jc w:val="both"/>
        <w:rPr>
          <w:rFonts w:ascii="Arial" w:hAnsi="Arial" w:cs="Arial"/>
          <w:lang w:val="mn-MN"/>
        </w:rPr>
      </w:pPr>
      <w:r w:rsidRPr="00707BC7">
        <w:rPr>
          <w:rFonts w:ascii="Arial" w:hAnsi="Arial" w:cs="Arial"/>
          <w:lang w:val="mn-MN"/>
        </w:rPr>
        <w:t xml:space="preserve">9.6.Зөвшөөрөл эзэмшигч энэ хуулийн </w:t>
      </w:r>
      <w:r w:rsidRPr="00707BC7">
        <w:rPr>
          <w:rFonts w:ascii="Arial" w:hAnsi="Arial" w:cs="Arial"/>
          <w:bCs/>
          <w:lang w:val="mn-MN"/>
        </w:rPr>
        <w:t>5.2-т</w:t>
      </w:r>
      <w:r w:rsidRPr="00707BC7">
        <w:rPr>
          <w:rFonts w:ascii="Arial" w:hAnsi="Arial" w:cs="Arial"/>
          <w:lang w:val="mn-MN"/>
        </w:rPr>
        <w:t xml:space="preserve"> заасан техникийн зохицуулалтыг дагаж мөрдөх үүрэгтэй бөгөөд зөрчсөн тохиолдолд Зөвшөөрлийн тухай хуульд заасны дагуу зөвшөөрлийг түдгэлзүүлэх болон хүчингүйд тооцох үндэслэл болно.”</w:t>
      </w:r>
    </w:p>
    <w:p w14:paraId="670AE824" w14:textId="77777777" w:rsidR="009811C6" w:rsidRPr="00707BC7" w:rsidRDefault="009811C6" w:rsidP="009811C6">
      <w:pPr>
        <w:contextualSpacing/>
        <w:jc w:val="both"/>
        <w:rPr>
          <w:rFonts w:ascii="Arial" w:hAnsi="Arial" w:cs="Arial"/>
          <w:strike/>
          <w:lang w:val="mn-MN"/>
        </w:rPr>
      </w:pPr>
    </w:p>
    <w:p w14:paraId="28789D53" w14:textId="77777777" w:rsidR="009811C6" w:rsidRPr="00707BC7" w:rsidRDefault="009811C6" w:rsidP="009811C6">
      <w:pPr>
        <w:ind w:left="720" w:firstLine="720"/>
        <w:contextualSpacing/>
        <w:jc w:val="both"/>
        <w:rPr>
          <w:rFonts w:ascii="Arial" w:hAnsi="Arial" w:cs="Arial"/>
          <w:lang w:val="mn-MN"/>
        </w:rPr>
      </w:pPr>
      <w:r w:rsidRPr="00707BC7">
        <w:rPr>
          <w:rFonts w:ascii="Arial" w:hAnsi="Arial" w:cs="Arial"/>
          <w:b/>
          <w:bCs/>
          <w:lang w:val="mn-MN"/>
        </w:rPr>
        <w:t>2/12 дугаар зүйлийн 12.6, 12.7 дахь хэсэг:</w:t>
      </w:r>
    </w:p>
    <w:p w14:paraId="36383060" w14:textId="77777777" w:rsidR="009811C6" w:rsidRPr="00707BC7" w:rsidRDefault="009811C6" w:rsidP="009811C6">
      <w:pPr>
        <w:contextualSpacing/>
        <w:jc w:val="both"/>
        <w:rPr>
          <w:rFonts w:ascii="Arial" w:hAnsi="Arial" w:cs="Arial"/>
          <w:lang w:val="mn-MN"/>
        </w:rPr>
      </w:pPr>
    </w:p>
    <w:p w14:paraId="24A4A7B2" w14:textId="77777777" w:rsidR="009811C6" w:rsidRPr="00707BC7" w:rsidRDefault="009811C6" w:rsidP="009811C6">
      <w:pPr>
        <w:ind w:firstLine="720"/>
        <w:contextualSpacing/>
        <w:jc w:val="both"/>
        <w:rPr>
          <w:rFonts w:ascii="Arial" w:hAnsi="Arial" w:cs="Arial"/>
          <w:lang w:val="mn-MN"/>
        </w:rPr>
      </w:pPr>
      <w:r w:rsidRPr="00707BC7">
        <w:rPr>
          <w:rFonts w:ascii="Arial" w:hAnsi="Arial" w:cs="Arial"/>
          <w:lang w:val="mn-MN"/>
        </w:rPr>
        <w:t>“12.6.Бүтээгдэхүүн, үйлчилгээ нь стандартын шаардлага хангасныг энэ хуулийн 15 дугаар зүйлд заасан байгууллага, хуульд заасан эрх бүхий байгууллага тогтооно.</w:t>
      </w:r>
    </w:p>
    <w:p w14:paraId="5BC222D1" w14:textId="77777777" w:rsidR="009811C6" w:rsidRPr="00707BC7" w:rsidRDefault="009811C6" w:rsidP="009811C6">
      <w:pPr>
        <w:contextualSpacing/>
        <w:jc w:val="both"/>
        <w:rPr>
          <w:rFonts w:ascii="Arial" w:hAnsi="Arial" w:cs="Arial"/>
          <w:lang w:val="mn-MN"/>
        </w:rPr>
      </w:pPr>
    </w:p>
    <w:p w14:paraId="41BE8CE2" w14:textId="77777777" w:rsidR="009811C6" w:rsidRPr="00707BC7" w:rsidRDefault="009811C6" w:rsidP="009811C6">
      <w:pPr>
        <w:ind w:firstLine="720"/>
        <w:contextualSpacing/>
        <w:jc w:val="both"/>
        <w:rPr>
          <w:rFonts w:ascii="Arial" w:hAnsi="Arial" w:cs="Arial"/>
          <w:lang w:val="mn-MN"/>
        </w:rPr>
      </w:pPr>
      <w:r w:rsidRPr="00707BC7">
        <w:rPr>
          <w:rFonts w:ascii="Arial" w:hAnsi="Arial" w:cs="Arial"/>
          <w:lang w:val="mn-MN"/>
        </w:rPr>
        <w:t>12.7.Зөвшөөрөл олгох эрх бүхий этгээд тодорхой төрлийн зөвшөөрөл олгох, сунгах үйл ажиллагааг баталгаажуулалтын байгууллагаас олгосон тохирлын гэрчилгээг үндэслэн хялбаршуулсан журмаар явуулж болно. Энэ үйл ажиллагаанд хамаарах бүтээгдэхүүн, үйлчилгээний жагсаалтыг Засгийн газар батална.”</w:t>
      </w:r>
    </w:p>
    <w:p w14:paraId="462F9597" w14:textId="77777777" w:rsidR="009811C6" w:rsidRPr="00707BC7" w:rsidRDefault="009811C6" w:rsidP="009811C6">
      <w:pPr>
        <w:contextualSpacing/>
        <w:jc w:val="both"/>
        <w:rPr>
          <w:rFonts w:ascii="Arial" w:hAnsi="Arial" w:cs="Arial"/>
          <w:strike/>
          <w:lang w:val="mn-MN"/>
        </w:rPr>
      </w:pPr>
    </w:p>
    <w:p w14:paraId="2A8A9361" w14:textId="77777777" w:rsidR="009811C6" w:rsidRPr="00707BC7" w:rsidRDefault="009811C6" w:rsidP="009811C6">
      <w:pPr>
        <w:ind w:left="720" w:firstLine="720"/>
        <w:contextualSpacing/>
        <w:jc w:val="both"/>
        <w:rPr>
          <w:rFonts w:ascii="Arial" w:hAnsi="Arial" w:cs="Arial"/>
          <w:lang w:val="mn-MN"/>
        </w:rPr>
      </w:pPr>
      <w:r w:rsidRPr="00707BC7">
        <w:rPr>
          <w:rFonts w:ascii="Arial" w:hAnsi="Arial" w:cs="Arial"/>
          <w:b/>
          <w:bCs/>
          <w:lang w:val="mn-MN"/>
        </w:rPr>
        <w:t>3/15 дугаар зүйлийн 15.8 дахь хэсэг:</w:t>
      </w:r>
    </w:p>
    <w:p w14:paraId="2144BBB1" w14:textId="77777777" w:rsidR="009811C6" w:rsidRPr="00707BC7" w:rsidRDefault="009811C6" w:rsidP="009811C6">
      <w:pPr>
        <w:contextualSpacing/>
        <w:jc w:val="both"/>
        <w:rPr>
          <w:rFonts w:ascii="Arial" w:hAnsi="Arial" w:cs="Arial"/>
          <w:lang w:val="mn-MN"/>
        </w:rPr>
      </w:pPr>
    </w:p>
    <w:p w14:paraId="64E14BC4" w14:textId="77777777" w:rsidR="009811C6" w:rsidRPr="00707BC7" w:rsidRDefault="009811C6" w:rsidP="009811C6">
      <w:pPr>
        <w:ind w:firstLine="709"/>
        <w:contextualSpacing/>
        <w:jc w:val="both"/>
        <w:rPr>
          <w:rFonts w:ascii="Arial" w:hAnsi="Arial" w:cs="Arial"/>
          <w:lang w:val="mn-MN"/>
        </w:rPr>
      </w:pPr>
      <w:r w:rsidRPr="00707BC7">
        <w:rPr>
          <w:rFonts w:ascii="Arial" w:hAnsi="Arial" w:cs="Arial"/>
          <w:lang w:val="mn-MN"/>
        </w:rPr>
        <w:t>“15.8.Тохирлын үнэлгээний үр дүнгээр тохирлын гэрчилгээг хүчингүй болгосон тохиолдолд энэ тухай зөвшөөрөл олгосон эрх бүхий этгээдэд болон стандартчилал, техникийн зохицуулалтын асуудал хариуцсан төрийн захиргааны байгууллагад мэдэгдэнэ. Мэдэгдлийг үндэслэн зөвшөөрөл олгосон эрх бүхий этгээд тухайн зөвшөөрлийг хүчингүй болгоно.”</w:t>
      </w:r>
    </w:p>
    <w:p w14:paraId="32248F92" w14:textId="77777777" w:rsidR="009811C6" w:rsidRPr="00707BC7" w:rsidRDefault="009811C6" w:rsidP="009811C6">
      <w:pPr>
        <w:ind w:firstLine="709"/>
        <w:contextualSpacing/>
        <w:jc w:val="both"/>
        <w:rPr>
          <w:rFonts w:ascii="Arial" w:hAnsi="Arial" w:cs="Arial"/>
          <w:lang w:val="mn-MN"/>
        </w:rPr>
      </w:pPr>
    </w:p>
    <w:p w14:paraId="3FA4A70F" w14:textId="77777777" w:rsidR="009811C6" w:rsidRPr="00707BC7" w:rsidRDefault="009811C6" w:rsidP="009811C6">
      <w:pPr>
        <w:ind w:firstLine="709"/>
        <w:contextualSpacing/>
        <w:jc w:val="both"/>
        <w:rPr>
          <w:rFonts w:ascii="Arial" w:hAnsi="Arial" w:cs="Arial"/>
          <w:b/>
          <w:bCs/>
          <w:iCs/>
          <w:lang w:val="mn-MN"/>
        </w:rPr>
      </w:pPr>
      <w:r w:rsidRPr="00707BC7">
        <w:rPr>
          <w:rFonts w:ascii="Arial" w:hAnsi="Arial" w:cs="Arial"/>
          <w:lang w:val="mn-MN"/>
        </w:rPr>
        <w:tab/>
      </w:r>
      <w:r w:rsidRPr="00707BC7">
        <w:rPr>
          <w:rFonts w:ascii="Arial" w:hAnsi="Arial" w:cs="Arial"/>
          <w:lang w:val="mn-MN"/>
        </w:rPr>
        <w:tab/>
      </w:r>
      <w:r w:rsidRPr="00707BC7">
        <w:rPr>
          <w:rFonts w:ascii="Arial" w:hAnsi="Arial" w:cs="Arial"/>
          <w:b/>
          <w:bCs/>
          <w:iCs/>
          <w:lang w:val="mn-MN"/>
        </w:rPr>
        <w:t>4/4 дүгээр зүйлийн 4.1.2 дахь заалтын тайлбар:</w:t>
      </w:r>
    </w:p>
    <w:p w14:paraId="2AA9CE2E" w14:textId="77777777" w:rsidR="009811C6" w:rsidRPr="00707BC7" w:rsidRDefault="009811C6" w:rsidP="009811C6">
      <w:pPr>
        <w:ind w:firstLine="720"/>
        <w:jc w:val="both"/>
        <w:rPr>
          <w:rFonts w:ascii="Arial" w:hAnsi="Arial" w:cs="Arial"/>
          <w:lang w:val="mn-MN"/>
        </w:rPr>
      </w:pPr>
    </w:p>
    <w:p w14:paraId="4F578B7C" w14:textId="77777777" w:rsidR="009811C6" w:rsidRPr="00707BC7" w:rsidRDefault="009811C6" w:rsidP="009811C6">
      <w:pPr>
        <w:ind w:firstLine="720"/>
        <w:contextualSpacing/>
        <w:jc w:val="both"/>
        <w:rPr>
          <w:rFonts w:ascii="Arial" w:hAnsi="Arial" w:cs="Arial"/>
          <w:bCs/>
          <w:lang w:val="mn-MN"/>
        </w:rPr>
      </w:pPr>
      <w:r w:rsidRPr="00707BC7">
        <w:rPr>
          <w:rFonts w:ascii="Arial" w:hAnsi="Arial" w:cs="Arial"/>
          <w:bCs/>
          <w:lang w:val="mn-MN"/>
        </w:rPr>
        <w:t>“Тайлбар:Энэ зүйлийн 4.1.2-т заасан “сонгон хэрэглэх баримт бичиг” гэж хүчин төгөлдөр стандартаас хэрэглэхэд тохирох стандартыг сонгохыг ойлгоно.”</w:t>
      </w:r>
    </w:p>
    <w:p w14:paraId="6C8EE68A" w14:textId="77777777" w:rsidR="009811C6" w:rsidRPr="00707BC7" w:rsidRDefault="009811C6" w:rsidP="009811C6">
      <w:pPr>
        <w:ind w:firstLine="720"/>
        <w:contextualSpacing/>
        <w:jc w:val="both"/>
        <w:rPr>
          <w:rFonts w:ascii="Arial" w:hAnsi="Arial" w:cs="Arial"/>
          <w:bCs/>
          <w:lang w:val="mn-MN"/>
        </w:rPr>
      </w:pPr>
    </w:p>
    <w:p w14:paraId="412F3BD0" w14:textId="77777777" w:rsidR="009811C6" w:rsidRPr="00707BC7" w:rsidRDefault="009811C6" w:rsidP="009811C6">
      <w:pPr>
        <w:ind w:firstLine="720"/>
        <w:contextualSpacing/>
        <w:jc w:val="both"/>
        <w:rPr>
          <w:rFonts w:ascii="Arial" w:hAnsi="Arial" w:cs="Arial"/>
          <w:iCs/>
          <w:lang w:val="mn-MN"/>
        </w:rPr>
      </w:pPr>
      <w:r w:rsidRPr="00707BC7">
        <w:rPr>
          <w:rFonts w:ascii="Arial" w:hAnsi="Arial" w:cs="Arial"/>
          <w:b/>
          <w:bCs/>
          <w:iCs/>
          <w:lang w:val="mn-MN"/>
        </w:rPr>
        <w:t>2 дугаар</w:t>
      </w:r>
      <w:r w:rsidRPr="00707BC7">
        <w:rPr>
          <w:rFonts w:ascii="Arial" w:hAnsi="Arial" w:cs="Arial"/>
          <w:b/>
          <w:bCs/>
          <w:lang w:val="mn-MN"/>
        </w:rPr>
        <w:t xml:space="preserve"> зүйл.</w:t>
      </w:r>
      <w:r w:rsidRPr="00707BC7">
        <w:rPr>
          <w:rFonts w:ascii="Arial" w:hAnsi="Arial" w:cs="Arial"/>
          <w:lang w:val="mn-MN"/>
        </w:rPr>
        <w:t xml:space="preserve">Энэ хуулийг 2023 оны 01 дүгээр сарын 06-ны өдрөөс эхлэн дагаж </w:t>
      </w:r>
      <w:r w:rsidRPr="00707BC7">
        <w:rPr>
          <w:rFonts w:ascii="Arial" w:hAnsi="Arial" w:cs="Arial"/>
          <w:iCs/>
          <w:lang w:val="mn-MN"/>
        </w:rPr>
        <w:t>мөрдөнө.</w:t>
      </w:r>
    </w:p>
    <w:p w14:paraId="4C1661D2" w14:textId="77777777" w:rsidR="009811C6" w:rsidRPr="00707BC7" w:rsidRDefault="009811C6" w:rsidP="009811C6">
      <w:pPr>
        <w:ind w:firstLine="720"/>
        <w:contextualSpacing/>
        <w:jc w:val="both"/>
        <w:rPr>
          <w:rFonts w:ascii="Arial" w:hAnsi="Arial" w:cs="Arial"/>
          <w:iCs/>
          <w:lang w:val="mn-MN"/>
        </w:rPr>
      </w:pPr>
    </w:p>
    <w:p w14:paraId="60E2F585" w14:textId="77777777" w:rsidR="007813A9" w:rsidRPr="00707BC7" w:rsidRDefault="007813A9" w:rsidP="007813A9">
      <w:pPr>
        <w:ind w:firstLine="709"/>
        <w:contextualSpacing/>
        <w:jc w:val="both"/>
        <w:rPr>
          <w:rFonts w:ascii="Arial" w:hAnsi="Arial" w:cs="Arial"/>
          <w:noProof/>
          <w:sz w:val="23"/>
          <w:szCs w:val="23"/>
          <w:lang w:val="mn-MN"/>
        </w:rPr>
      </w:pPr>
    </w:p>
    <w:p w14:paraId="7DF1DB49" w14:textId="77777777" w:rsidR="007813A9" w:rsidRPr="00707BC7" w:rsidRDefault="007813A9" w:rsidP="007813A9">
      <w:pPr>
        <w:ind w:firstLine="709"/>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2023-02-06T07:45:00Z</dcterms:created>
  <dcterms:modified xsi:type="dcterms:W3CDTF">2023-02-06T07:45:00Z</dcterms:modified>
</cp:coreProperties>
</file>