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6E1A3" w14:textId="0C507BE7" w:rsidR="00505221" w:rsidRPr="00863111" w:rsidRDefault="00505221" w:rsidP="00EB2A81">
      <w:pPr>
        <w:spacing w:after="0" w:line="240" w:lineRule="auto"/>
        <w:contextualSpacing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 xml:space="preserve">   </w:t>
      </w: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 xml:space="preserve">   </w:t>
      </w:r>
    </w:p>
    <w:p w14:paraId="5B3605CE" w14:textId="77777777" w:rsidR="00F6273A" w:rsidRPr="00863111" w:rsidRDefault="00F6273A" w:rsidP="00F6273A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</w:pPr>
    </w:p>
    <w:p w14:paraId="25291A3D" w14:textId="06ADFADA" w:rsidR="00EB2A81" w:rsidRPr="00EB2A81" w:rsidRDefault="00EB2A81" w:rsidP="00EB2A81">
      <w:pPr>
        <w:spacing w:after="0" w:line="240" w:lineRule="auto"/>
        <w:ind w:right="-357"/>
        <w:rPr>
          <w:rFonts w:ascii="Arial" w:eastAsia="Times New Roman" w:hAnsi="Arial" w:cs="Arial"/>
          <w:b/>
          <w:bCs/>
          <w:color w:val="3366FF"/>
          <w:kern w:val="0"/>
          <w:sz w:val="32"/>
          <w:szCs w:val="32"/>
          <w:lang w:val="ms-MY"/>
          <w14:ligatures w14:val="none"/>
        </w:rPr>
      </w:pPr>
      <w:r w:rsidRPr="00EB2A81">
        <w:rPr>
          <w:rFonts w:ascii="Arial" w:eastAsia="Times New Roman" w:hAnsi="Arial" w:cs="Arial"/>
          <w:b/>
          <w:bCs/>
          <w:noProof/>
          <w:color w:val="3366FF"/>
          <w:kern w:val="0"/>
          <w:sz w:val="4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7AFD8AEE" wp14:editId="6BC7D8C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0552D" w14:textId="77777777" w:rsidR="00EB2A81" w:rsidRPr="00EB2A81" w:rsidRDefault="00EB2A81" w:rsidP="00EB2A81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14:paraId="1D306FF9" w14:textId="77777777" w:rsidR="00EB2A81" w:rsidRPr="00EB2A81" w:rsidRDefault="00EB2A81" w:rsidP="00EB2A81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</w:pPr>
    </w:p>
    <w:p w14:paraId="66446804" w14:textId="77777777" w:rsidR="00EB2A81" w:rsidRPr="00EB2A81" w:rsidRDefault="00EB2A81" w:rsidP="00EB2A81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kern w:val="0"/>
          <w:sz w:val="32"/>
          <w:szCs w:val="32"/>
          <w:lang w:val="ms-MY"/>
          <w14:ligatures w14:val="none"/>
        </w:rPr>
      </w:pPr>
      <w:r w:rsidRPr="00EB2A81">
        <w:rPr>
          <w:rFonts w:ascii="Times New Roman" w:eastAsia="Times New Roman" w:hAnsi="Times New Roman" w:cs="Times New Roman"/>
          <w:b/>
          <w:bCs/>
          <w:color w:val="3366FF"/>
          <w:kern w:val="0"/>
          <w:sz w:val="32"/>
          <w:szCs w:val="32"/>
          <w:lang w:val="ms-MY"/>
          <w14:ligatures w14:val="none"/>
        </w:rPr>
        <w:t>МОНГОЛ УЛСЫН ХУУЛЬ</w:t>
      </w:r>
    </w:p>
    <w:p w14:paraId="69574302" w14:textId="77777777" w:rsidR="00EB2A81" w:rsidRPr="00EB2A81" w:rsidRDefault="00EB2A81" w:rsidP="00EB2A81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sz w:val="24"/>
          <w:szCs w:val="24"/>
          <w:lang w:val="ms-MY"/>
          <w14:ligatures w14:val="none"/>
        </w:rPr>
      </w:pPr>
    </w:p>
    <w:p w14:paraId="53B29099" w14:textId="49DB2330" w:rsidR="00EB2A81" w:rsidRPr="00EB2A81" w:rsidRDefault="00EB2A81" w:rsidP="00EB2A81">
      <w:pPr>
        <w:spacing w:after="0" w:line="240" w:lineRule="auto"/>
        <w:jc w:val="both"/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</w:pPr>
      <w:r w:rsidRPr="00EB2A81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202</w:t>
      </w:r>
      <w:r w:rsidRPr="00EB2A81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n-MN"/>
          <w14:ligatures w14:val="none"/>
        </w:rPr>
        <w:t>5</w:t>
      </w:r>
      <w:r w:rsidRPr="00EB2A81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</w:t>
      </w:r>
      <w:r w:rsidRPr="00EB2A81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>о</w:t>
      </w:r>
      <w:r w:rsidRPr="00EB2A81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ны </w:t>
      </w:r>
      <w:r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:lang w:val="ms-MY"/>
          <w14:ligatures w14:val="none"/>
        </w:rPr>
        <w:t>12</w:t>
      </w:r>
      <w:r w:rsidRPr="00EB2A81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 сарын</w:t>
      </w:r>
      <w:r w:rsidRPr="00EB2A81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 w:rsidR="00860F3E">
        <w:rPr>
          <w:rFonts w:ascii="Arial" w:eastAsia="Times New Roman" w:hAnsi="Arial" w:cs="Arial"/>
          <w:color w:val="3366FF"/>
          <w:kern w:val="0"/>
          <w:sz w:val="20"/>
          <w:szCs w:val="20"/>
          <w:u w:val="single"/>
          <w14:ligatures w14:val="none"/>
        </w:rPr>
        <w:t>23</w:t>
      </w:r>
      <w:r w:rsidRPr="00EB2A81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</w:t>
      </w:r>
      <w:r w:rsidRPr="00EB2A81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 xml:space="preserve">өдөр            </w:t>
      </w:r>
      <w:r w:rsidRPr="00EB2A81">
        <w:rPr>
          <w:rFonts w:ascii="Arial" w:eastAsia="Times New Roman" w:hAnsi="Arial" w:cs="Arial"/>
          <w:color w:val="3366FF"/>
          <w:kern w:val="0"/>
          <w:sz w:val="20"/>
          <w:szCs w:val="20"/>
          <w:lang w:val="mn-MN"/>
          <w14:ligatures w14:val="none"/>
        </w:rPr>
        <w:t xml:space="preserve">                                                      </w:t>
      </w:r>
      <w:r w:rsidRPr="00EB2A81">
        <w:rPr>
          <w:rFonts w:ascii="Arial" w:eastAsia="Times New Roman" w:hAnsi="Arial" w:cs="Arial"/>
          <w:color w:val="3366FF"/>
          <w:kern w:val="0"/>
          <w:sz w:val="20"/>
          <w:szCs w:val="20"/>
          <w:lang w:val="ms-MY"/>
          <w14:ligatures w14:val="none"/>
        </w:rPr>
        <w:t>Төрийн ордон, Улаанбаатар хот</w:t>
      </w:r>
    </w:p>
    <w:p w14:paraId="22B5BA07" w14:textId="5D7F2ADC" w:rsidR="00F6273A" w:rsidRPr="00863111" w:rsidRDefault="00F6273A" w:rsidP="00EB2A81">
      <w:pPr>
        <w:spacing w:after="0" w:line="360" w:lineRule="auto"/>
        <w:contextualSpacing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</w:pPr>
    </w:p>
    <w:p w14:paraId="2E0B5345" w14:textId="3156CECC" w:rsidR="00F6273A" w:rsidRPr="00863111" w:rsidRDefault="00F6273A" w:rsidP="00F6273A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     </w:t>
      </w:r>
      <w:r w:rsidR="00505221" w:rsidRPr="00863111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ЭРҮҮГИЙН ХЭРЭГ ХЯНАН ШИЙДВЭРЛЭХ </w:t>
      </w:r>
    </w:p>
    <w:p w14:paraId="6B9AD789" w14:textId="1FF3A293" w:rsidR="00F6273A" w:rsidRPr="00863111" w:rsidRDefault="00F6273A" w:rsidP="00F6273A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     </w:t>
      </w:r>
      <w:r w:rsidR="00505221" w:rsidRPr="00863111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ТУХАЙ ХУУЛЬД</w:t>
      </w:r>
      <w:r w:rsidRPr="00863111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 </w:t>
      </w:r>
      <w:r w:rsidR="00505221" w:rsidRPr="00863111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НЭМЭЛТ</w:t>
      </w:r>
      <w:r w:rsidR="00BA4BDE" w:rsidRPr="00863111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,</w:t>
      </w:r>
      <w:r w:rsidR="00505221" w:rsidRPr="00863111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 ӨӨРЧЛӨЛТ </w:t>
      </w:r>
    </w:p>
    <w:p w14:paraId="1FE5C444" w14:textId="534A8EC7" w:rsidR="00505221" w:rsidRPr="00863111" w:rsidRDefault="00F6273A" w:rsidP="00F6273A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 xml:space="preserve">     </w:t>
      </w:r>
      <w:r w:rsidR="00505221" w:rsidRPr="00863111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ОРУУЛАХ ТУХАЙ</w:t>
      </w:r>
    </w:p>
    <w:p w14:paraId="4CA71D93" w14:textId="77777777" w:rsidR="00505221" w:rsidRPr="00863111" w:rsidRDefault="00505221" w:rsidP="00F6273A">
      <w:pPr>
        <w:spacing w:after="0" w:line="240" w:lineRule="auto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 </w:t>
      </w:r>
    </w:p>
    <w:p w14:paraId="42266512" w14:textId="57DD9C7D" w:rsidR="00505221" w:rsidRPr="00863111" w:rsidRDefault="00505221" w:rsidP="00F6273A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 дүгээр зүйл.</w:t>
      </w:r>
      <w:r w:rsidRPr="00863111">
        <w:rPr>
          <w:rFonts w:ascii="Arial" w:hAnsi="Arial" w:cs="Arial"/>
          <w:color w:val="000000" w:themeColor="text1"/>
          <w:sz w:val="24"/>
          <w:szCs w:val="24"/>
          <w:lang w:val="mn-MN"/>
        </w:rPr>
        <w:t>Эрүүгийн хэрэг хянан шийдвэрлэх тухай хуульд доор дурдсан агуулгатай дараах зүйл, хэсэг нэмсүгэй:</w:t>
      </w:r>
    </w:p>
    <w:p w14:paraId="794CF5AF" w14:textId="77777777" w:rsidR="00E37F0C" w:rsidRPr="00863111" w:rsidRDefault="00E37F0C" w:rsidP="00F6273A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362885A" w14:textId="79C09E7B" w:rsidR="00E37F0C" w:rsidRPr="00863111" w:rsidRDefault="00BA4BDE" w:rsidP="00F6273A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</w:t>
      </w:r>
      <w:r w:rsidR="00E37F0C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/14.9 дүгээр зүйлийн 6 дахь хэсэг:</w:t>
      </w:r>
    </w:p>
    <w:p w14:paraId="5143C71E" w14:textId="77777777" w:rsidR="00E37F0C" w:rsidRPr="00863111" w:rsidRDefault="00E37F0C" w:rsidP="00F6273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</w:p>
    <w:p w14:paraId="7B196BD1" w14:textId="0DB83BED" w:rsidR="00E37F0C" w:rsidRPr="00863111" w:rsidRDefault="00E37F0C" w:rsidP="00F6273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“6.</w:t>
      </w:r>
      <w:r w:rsidR="00D07537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Ш</w:t>
      </w:r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үүхэд</w:t>
      </w:r>
      <w:r w:rsidR="00D07537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хэрэг</w:t>
      </w:r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хянан шийдвэрлэх</w:t>
      </w:r>
      <w:r w:rsidR="00D14BDB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ажиллагааны</w:t>
      </w:r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явцад прокурор, оролцогчийн гаргасан саналыг харгалзан шүүх энэ зүйлийн 1, 2, 3, 4 дэх хэсэгт заасан үндэслэлээр, эсхүл хор</w:t>
      </w:r>
      <w:bookmarkStart w:id="0" w:name="_GoBack"/>
      <w:bookmarkEnd w:id="0"/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их ял оногдуулахаар заасан гэмт хэрэг үйлдсэн гэм буруутайд тооцогдсон шүүгдэгчид цагдан хорих таслан сэргийлэх арга хэмжээ авч болно.”</w:t>
      </w:r>
    </w:p>
    <w:p w14:paraId="5600471E" w14:textId="77777777" w:rsidR="00505221" w:rsidRPr="00863111" w:rsidRDefault="00505221" w:rsidP="00F6273A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  <w:lang w:val="mn-MN"/>
        </w:rPr>
      </w:pPr>
    </w:p>
    <w:p w14:paraId="63B53319" w14:textId="4F87D1EF" w:rsidR="00505221" w:rsidRPr="00863111" w:rsidRDefault="00BA4BDE" w:rsidP="00F6273A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2</w:t>
      </w:r>
      <w:r w:rsidR="00505221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/14.</w:t>
      </w:r>
      <w:r w:rsidR="00784273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15</w:t>
      </w:r>
      <w:r w:rsidR="00505221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д</w:t>
      </w:r>
      <w:r w:rsidR="00784273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угаа</w:t>
      </w:r>
      <w:r w:rsidR="00505221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р зүйл</w:t>
      </w:r>
      <w:r w:rsidR="00784273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:</w:t>
      </w:r>
    </w:p>
    <w:p w14:paraId="68579FED" w14:textId="049F3D90" w:rsidR="00784273" w:rsidRPr="00863111" w:rsidRDefault="00784273" w:rsidP="00F6273A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57F54069" w14:textId="62351CC4" w:rsidR="00270DDC" w:rsidRPr="00863111" w:rsidRDefault="00FE2A45" w:rsidP="00F6273A">
      <w:pPr>
        <w:spacing w:after="0" w:line="240" w:lineRule="auto"/>
        <w:ind w:left="3686" w:hanging="2977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color w:val="000000" w:themeColor="text1"/>
          <w:sz w:val="24"/>
          <w:szCs w:val="24"/>
          <w:lang w:val="mn-MN"/>
        </w:rPr>
        <w:t>“</w:t>
      </w:r>
      <w:r w:rsidR="00784273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14.15 дугаар зүйл</w:t>
      </w:r>
      <w:r w:rsidR="009C5CB4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.</w:t>
      </w:r>
      <w:r w:rsidR="00784273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Шүүхэд хэрэг хянан шийдвэрлэх ажиллагааны </w:t>
      </w:r>
      <w:r w:rsidR="00651EA9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явцад</w:t>
      </w:r>
      <w:r w:rsidR="00784273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="00270DDC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="00F6273A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="00651EA9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яллагдагч, </w:t>
      </w:r>
      <w:r w:rsidR="00784273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шүүгдэгчид таслан сэргийлэх</w:t>
      </w:r>
      <w:r w:rsidR="00270DDC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</w:p>
    <w:p w14:paraId="6C097774" w14:textId="76D9D3E3" w:rsidR="00784273" w:rsidRPr="00863111" w:rsidRDefault="00F6273A" w:rsidP="00F6273A">
      <w:pPr>
        <w:spacing w:after="0" w:line="240" w:lineRule="auto"/>
        <w:ind w:left="4320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     </w:t>
      </w:r>
      <w:r w:rsidR="00784273" w:rsidRPr="00863111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арга хэмжээ авах</w:t>
      </w:r>
    </w:p>
    <w:p w14:paraId="397620D2" w14:textId="77777777" w:rsidR="00505221" w:rsidRPr="00863111" w:rsidRDefault="00505221" w:rsidP="00F6273A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  <w:lang w:val="mn-MN"/>
        </w:rPr>
      </w:pPr>
    </w:p>
    <w:p w14:paraId="0108600E" w14:textId="5AE2BC7A" w:rsidR="00784273" w:rsidRPr="00863111" w:rsidRDefault="00784273" w:rsidP="00F6273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1</w:t>
      </w:r>
      <w:r w:rsidR="00505221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.</w:t>
      </w:r>
      <w:r w:rsidR="00651EA9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Ш</w:t>
      </w:r>
      <w:r w:rsidR="00EE3E37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үүхэд хэрэг хянан шийдвэрлэх ажиллагааны явцад</w:t>
      </w:r>
      <w:r w:rsidR="00651EA9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шүүх</w:t>
      </w:r>
      <w:r w:rsidR="00EE3E37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энэ хуульд заасны дагуу</w:t>
      </w:r>
      <w:r w:rsidR="00514F4C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яллагдагчийг шүүхэд шилжүүлэх,</w:t>
      </w:r>
      <w:r w:rsidR="00EE3E37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шүүх хуралдааныг хойшлуулах, завсар</w:t>
      </w:r>
      <w:r w:rsidR="007E0D57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л</w:t>
      </w:r>
      <w:r w:rsidR="00EE3E37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уулах, хэргийг түдгэлзүүлэх, тусгаарлах, </w:t>
      </w:r>
      <w:r w:rsidR="004706BE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буцаах, </w:t>
      </w:r>
      <w:r w:rsidR="00163D83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шүүгдэгчийг</w:t>
      </w:r>
      <w:r w:rsidR="00EE3E37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гэм буруутайд тооцох, </w:t>
      </w:r>
      <w:r w:rsidR="00223013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эрүүгийн хариуцлага хүлээлгэх </w:t>
      </w:r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асуудлыг шийдвэрлэх үед</w:t>
      </w:r>
      <w:r w:rsidR="00514F4C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яллагдагч,</w:t>
      </w:r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шүүгдэгчид авсан таслан сэргийлэх арга хэмжээтэй холбоотой прокурор, оролцогчийн </w:t>
      </w:r>
      <w:r w:rsidR="00651EA9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гаргасан </w:t>
      </w:r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санал, хүсэлтийг хэлэлцэн шийдвэрлэнэ.</w:t>
      </w:r>
    </w:p>
    <w:p w14:paraId="4F81BB41" w14:textId="3EF9894D" w:rsidR="00784273" w:rsidRPr="00863111" w:rsidRDefault="00784273" w:rsidP="00F6273A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</w:p>
    <w:p w14:paraId="05BD651C" w14:textId="58CA8A88" w:rsidR="00784273" w:rsidRPr="00863111" w:rsidRDefault="00784273" w:rsidP="00F6273A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ab/>
        <w:t xml:space="preserve">2.Энэ зүйлийн 1 дэх хэсэгт заасан шүүхийн шийдвэрт </w:t>
      </w:r>
      <w:r w:rsidR="00651EA9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яллагдагч, </w:t>
      </w:r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шүүгдэгчид</w:t>
      </w:r>
      <w:r w:rsidR="008D3FD6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 </w:t>
      </w:r>
      <w:r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 xml:space="preserve">урьд авсан таслан сэргийлэх </w:t>
      </w:r>
      <w:r w:rsidR="00765764" w:rsidRPr="00863111"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  <w:t>арга хэмжээг хэвээр үргэлжлүүлсэн, өөрчилсөн, хүчингүй болгосон үндэслэлийг тусгана.”</w:t>
      </w:r>
    </w:p>
    <w:p w14:paraId="2CE0E84C" w14:textId="77777777" w:rsidR="00505221" w:rsidRPr="00863111" w:rsidRDefault="00505221" w:rsidP="00F6273A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Cs/>
          <w:noProof/>
          <w:color w:val="000000" w:themeColor="text1"/>
          <w:sz w:val="24"/>
          <w:szCs w:val="24"/>
          <w:lang w:val="mn-MN"/>
        </w:rPr>
      </w:pPr>
    </w:p>
    <w:p w14:paraId="4B3C7A95" w14:textId="5D7726EB" w:rsidR="00505221" w:rsidRPr="00863111" w:rsidRDefault="00505221" w:rsidP="00F6273A">
      <w:pPr>
        <w:spacing w:after="0" w:line="240" w:lineRule="auto"/>
        <w:ind w:firstLine="720"/>
        <w:contextualSpacing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mn-MN"/>
        </w:rPr>
        <w:t>2 дугаар зүйл.</w:t>
      </w: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Эрүүгийн хэрэг хянан шийдвэрлэх тухай хуулийн</w:t>
      </w:r>
      <w:r w:rsidR="00A642F6"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  <w:r w:rsidR="00651EA9"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14.10 дугаар зүйлийн 12 дахь хэсгийг хүчингүй болсонд тооцсугай.</w:t>
      </w:r>
    </w:p>
    <w:p w14:paraId="5700FB31" w14:textId="219C91BF" w:rsidR="00505221" w:rsidRPr="00863111" w:rsidRDefault="00F94EAB" w:rsidP="00F6273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="00BD5CB1" w:rsidRPr="00863111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5BB1686E" w14:textId="47A4EF73" w:rsidR="00505221" w:rsidRPr="00863111" w:rsidRDefault="00E37F0C" w:rsidP="00F6273A">
      <w:pPr>
        <w:pStyle w:val="NormalWeb"/>
        <w:shd w:val="clear" w:color="auto" w:fill="FFFFFF"/>
        <w:spacing w:before="0" w:beforeAutospacing="0" w:after="0" w:afterAutospacing="0"/>
        <w:ind w:right="51"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863111">
        <w:rPr>
          <w:rFonts w:ascii="Arial" w:hAnsi="Arial" w:cs="Arial"/>
          <w:b/>
          <w:bCs/>
          <w:noProof/>
          <w:color w:val="000000" w:themeColor="text1"/>
          <w:lang w:val="mn-MN"/>
        </w:rPr>
        <w:t>3</w:t>
      </w:r>
      <w:r w:rsidR="00505221" w:rsidRPr="00863111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д</w:t>
      </w:r>
      <w:r w:rsidR="00F72CD0" w:rsidRPr="00863111">
        <w:rPr>
          <w:rFonts w:ascii="Arial" w:hAnsi="Arial" w:cs="Arial"/>
          <w:b/>
          <w:bCs/>
          <w:noProof/>
          <w:color w:val="000000" w:themeColor="text1"/>
          <w:lang w:val="mn-MN"/>
        </w:rPr>
        <w:t>угаа</w:t>
      </w:r>
      <w:r w:rsidR="00505221" w:rsidRPr="00863111">
        <w:rPr>
          <w:rFonts w:ascii="Arial" w:hAnsi="Arial" w:cs="Arial"/>
          <w:b/>
          <w:bCs/>
          <w:noProof/>
          <w:color w:val="000000" w:themeColor="text1"/>
          <w:lang w:val="mn-MN"/>
        </w:rPr>
        <w:t>р зүйл.</w:t>
      </w:r>
      <w:r w:rsidR="00505221" w:rsidRPr="00863111">
        <w:rPr>
          <w:rFonts w:ascii="Arial" w:hAnsi="Arial" w:cs="Arial"/>
          <w:noProof/>
          <w:color w:val="000000" w:themeColor="text1"/>
          <w:lang w:val="mn-MN"/>
        </w:rPr>
        <w:t xml:space="preserve">Энэ хуулийг 2026 оны 01 дүгээр сарын 01-ний өдрөөс эхлэн дагаж мөрдөнө. </w:t>
      </w:r>
    </w:p>
    <w:p w14:paraId="6250D3E4" w14:textId="77777777" w:rsidR="00505221" w:rsidRPr="00863111" w:rsidRDefault="00505221" w:rsidP="00F6273A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1DDAEF7" w14:textId="77777777" w:rsidR="00505221" w:rsidRPr="00863111" w:rsidRDefault="00505221" w:rsidP="00F6273A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AA19ABD" w14:textId="4E558ECE" w:rsidR="002A13E3" w:rsidRPr="00863111" w:rsidRDefault="00F6273A" w:rsidP="00F6273A">
      <w:pPr>
        <w:spacing w:after="0" w:line="240" w:lineRule="auto"/>
        <w:ind w:left="720" w:firstLine="720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bookmarkStart w:id="1" w:name="_Hlk217395920"/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3545438" w14:textId="77F8AE16" w:rsidR="00F6273A" w:rsidRPr="00863111" w:rsidRDefault="00F6273A" w:rsidP="00F6273A">
      <w:pPr>
        <w:spacing w:after="0" w:line="240" w:lineRule="auto"/>
        <w:ind w:left="720" w:firstLine="720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ИХ ХУРЛЫН ДАРГА </w:t>
      </w: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863111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>Н.УЧРАЛ</w:t>
      </w:r>
      <w:bookmarkEnd w:id="1"/>
    </w:p>
    <w:sectPr w:rsidR="00F6273A" w:rsidRPr="00863111" w:rsidSect="00F6273A">
      <w:pgSz w:w="11900" w:h="16840"/>
      <w:pgMar w:top="1134" w:right="851" w:bottom="1134" w:left="1701" w:header="0" w:footer="0" w:gutter="0"/>
      <w:cols w:space="708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48"/>
    <w:rsid w:val="0000376E"/>
    <w:rsid w:val="00010B21"/>
    <w:rsid w:val="00010DB0"/>
    <w:rsid w:val="00020F37"/>
    <w:rsid w:val="00041D97"/>
    <w:rsid w:val="00045764"/>
    <w:rsid w:val="00051CB4"/>
    <w:rsid w:val="00056859"/>
    <w:rsid w:val="00074F20"/>
    <w:rsid w:val="000859A2"/>
    <w:rsid w:val="000939F7"/>
    <w:rsid w:val="000F3292"/>
    <w:rsid w:val="001100A8"/>
    <w:rsid w:val="0011270F"/>
    <w:rsid w:val="001637CD"/>
    <w:rsid w:val="00163D83"/>
    <w:rsid w:val="00223013"/>
    <w:rsid w:val="00223321"/>
    <w:rsid w:val="002475FC"/>
    <w:rsid w:val="00270DDC"/>
    <w:rsid w:val="00275D57"/>
    <w:rsid w:val="002827FD"/>
    <w:rsid w:val="00284CAC"/>
    <w:rsid w:val="002A13E3"/>
    <w:rsid w:val="002A6643"/>
    <w:rsid w:val="003132E5"/>
    <w:rsid w:val="003171B6"/>
    <w:rsid w:val="00322EB5"/>
    <w:rsid w:val="003256DC"/>
    <w:rsid w:val="00372ACB"/>
    <w:rsid w:val="00394F8B"/>
    <w:rsid w:val="0039512D"/>
    <w:rsid w:val="003B68E8"/>
    <w:rsid w:val="003C6ACB"/>
    <w:rsid w:val="004249A2"/>
    <w:rsid w:val="0043008B"/>
    <w:rsid w:val="004553B8"/>
    <w:rsid w:val="0046199D"/>
    <w:rsid w:val="00462AC8"/>
    <w:rsid w:val="004706BE"/>
    <w:rsid w:val="00494DE2"/>
    <w:rsid w:val="004B29EE"/>
    <w:rsid w:val="004B3112"/>
    <w:rsid w:val="004B4322"/>
    <w:rsid w:val="004C7E21"/>
    <w:rsid w:val="004E5D8B"/>
    <w:rsid w:val="00501119"/>
    <w:rsid w:val="00505221"/>
    <w:rsid w:val="00514F4C"/>
    <w:rsid w:val="00522538"/>
    <w:rsid w:val="005874A2"/>
    <w:rsid w:val="00590FAF"/>
    <w:rsid w:val="005B1A53"/>
    <w:rsid w:val="005B209D"/>
    <w:rsid w:val="005D4A68"/>
    <w:rsid w:val="00603864"/>
    <w:rsid w:val="00612A02"/>
    <w:rsid w:val="00644B2A"/>
    <w:rsid w:val="00651974"/>
    <w:rsid w:val="00651EA9"/>
    <w:rsid w:val="00686DD8"/>
    <w:rsid w:val="006E3918"/>
    <w:rsid w:val="006E5422"/>
    <w:rsid w:val="007056CF"/>
    <w:rsid w:val="00747AA5"/>
    <w:rsid w:val="00751327"/>
    <w:rsid w:val="00765764"/>
    <w:rsid w:val="00784273"/>
    <w:rsid w:val="00784926"/>
    <w:rsid w:val="007B37C1"/>
    <w:rsid w:val="007B480F"/>
    <w:rsid w:val="007E0D57"/>
    <w:rsid w:val="00804527"/>
    <w:rsid w:val="00806993"/>
    <w:rsid w:val="008172A1"/>
    <w:rsid w:val="00857FA8"/>
    <w:rsid w:val="00860F3E"/>
    <w:rsid w:val="00863111"/>
    <w:rsid w:val="00867348"/>
    <w:rsid w:val="00877F33"/>
    <w:rsid w:val="00882848"/>
    <w:rsid w:val="008A5A20"/>
    <w:rsid w:val="008D3FD6"/>
    <w:rsid w:val="008D7F44"/>
    <w:rsid w:val="0096240B"/>
    <w:rsid w:val="0097434D"/>
    <w:rsid w:val="00995E2F"/>
    <w:rsid w:val="009C3FF1"/>
    <w:rsid w:val="009C5CB4"/>
    <w:rsid w:val="009C77DD"/>
    <w:rsid w:val="009D2DDB"/>
    <w:rsid w:val="00A20207"/>
    <w:rsid w:val="00A42C65"/>
    <w:rsid w:val="00A45EE0"/>
    <w:rsid w:val="00A642F6"/>
    <w:rsid w:val="00A65049"/>
    <w:rsid w:val="00AB3AD4"/>
    <w:rsid w:val="00AC47A3"/>
    <w:rsid w:val="00AD3E48"/>
    <w:rsid w:val="00AE680A"/>
    <w:rsid w:val="00AF18AF"/>
    <w:rsid w:val="00B225EA"/>
    <w:rsid w:val="00B352E5"/>
    <w:rsid w:val="00B47526"/>
    <w:rsid w:val="00B54A60"/>
    <w:rsid w:val="00B97D41"/>
    <w:rsid w:val="00BA4BDE"/>
    <w:rsid w:val="00BC36B3"/>
    <w:rsid w:val="00BC5029"/>
    <w:rsid w:val="00BC78D4"/>
    <w:rsid w:val="00BD5CB1"/>
    <w:rsid w:val="00C17CA4"/>
    <w:rsid w:val="00C21E27"/>
    <w:rsid w:val="00C30C4F"/>
    <w:rsid w:val="00C434DE"/>
    <w:rsid w:val="00C82C49"/>
    <w:rsid w:val="00C9117C"/>
    <w:rsid w:val="00CC05AE"/>
    <w:rsid w:val="00CC0ABA"/>
    <w:rsid w:val="00CD15F5"/>
    <w:rsid w:val="00D00D39"/>
    <w:rsid w:val="00D01A3F"/>
    <w:rsid w:val="00D07537"/>
    <w:rsid w:val="00D14BDB"/>
    <w:rsid w:val="00D17137"/>
    <w:rsid w:val="00D21389"/>
    <w:rsid w:val="00D56197"/>
    <w:rsid w:val="00D60E1A"/>
    <w:rsid w:val="00D849D7"/>
    <w:rsid w:val="00DA1ECF"/>
    <w:rsid w:val="00DF0E73"/>
    <w:rsid w:val="00DF1C65"/>
    <w:rsid w:val="00DF559D"/>
    <w:rsid w:val="00E166EA"/>
    <w:rsid w:val="00E241EF"/>
    <w:rsid w:val="00E37F0C"/>
    <w:rsid w:val="00E62040"/>
    <w:rsid w:val="00E65CED"/>
    <w:rsid w:val="00E7697B"/>
    <w:rsid w:val="00E87A1D"/>
    <w:rsid w:val="00EB2A81"/>
    <w:rsid w:val="00ED4182"/>
    <w:rsid w:val="00EE3E37"/>
    <w:rsid w:val="00EE6725"/>
    <w:rsid w:val="00F03FB1"/>
    <w:rsid w:val="00F32CEE"/>
    <w:rsid w:val="00F435C5"/>
    <w:rsid w:val="00F6273A"/>
    <w:rsid w:val="00F729F6"/>
    <w:rsid w:val="00F72CD0"/>
    <w:rsid w:val="00F87763"/>
    <w:rsid w:val="00F87E27"/>
    <w:rsid w:val="00F94EAB"/>
    <w:rsid w:val="00F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3B3C"/>
  <w15:chartTrackingRefBased/>
  <w15:docId w15:val="{622BB7BC-914A-D943-9711-11889FAB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48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CA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AC"/>
    <w:rPr>
      <w:rFonts w:ascii="Times New Roman" w:hAnsi="Times New Roman" w:cs="Times New Roman"/>
      <w:kern w:val="2"/>
      <w:sz w:val="18"/>
      <w:szCs w:val="18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B54A60"/>
    <w:pPr>
      <w:spacing w:after="120" w:line="276" w:lineRule="auto"/>
    </w:pPr>
    <w:rPr>
      <w:rFonts w:ascii="Arial" w:eastAsia="Calibri" w:hAnsi="Arial" w:cs="Times New Roman"/>
      <w:noProof/>
      <w:kern w:val="0"/>
      <w:sz w:val="24"/>
      <w:lang w:val="mn-M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54A60"/>
    <w:rPr>
      <w:rFonts w:ascii="Arial" w:eastAsia="Calibri" w:hAnsi="Arial" w:cs="Times New Roman"/>
      <w:noProof/>
      <w:szCs w:val="22"/>
      <w:lang w:val="mn-M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0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05221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Нарантунгалаг Төмөрхуяг</cp:lastModifiedBy>
  <cp:revision>3</cp:revision>
  <cp:lastPrinted>2025-12-23T07:08:00Z</cp:lastPrinted>
  <dcterms:created xsi:type="dcterms:W3CDTF">2025-12-25T01:47:00Z</dcterms:created>
  <dcterms:modified xsi:type="dcterms:W3CDTF">2025-12-25T01:47:00Z</dcterms:modified>
</cp:coreProperties>
</file>