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4B24FCC8"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n-MN"/>
        </w:rPr>
        <w:t>1</w:t>
      </w:r>
      <w:r w:rsidR="00BC245A">
        <w:rPr>
          <w:rFonts w:ascii="Arial" w:hAnsi="Arial" w:cs="Arial"/>
          <w:color w:val="3366FF"/>
          <w:sz w:val="20"/>
          <w:szCs w:val="20"/>
          <w:u w:val="single"/>
        </w:rPr>
        <w:t>2</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C245A">
        <w:rPr>
          <w:rFonts w:ascii="Arial" w:hAnsi="Arial" w:cs="Arial"/>
          <w:color w:val="3366FF"/>
          <w:sz w:val="20"/>
          <w:szCs w:val="20"/>
          <w:u w:val="single"/>
        </w:rPr>
        <w:t>09</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6434B06F" w14:textId="77777777" w:rsidR="00BC245A" w:rsidRDefault="00BC245A" w:rsidP="00BC245A">
      <w:pPr>
        <w:jc w:val="center"/>
        <w:rPr>
          <w:rFonts w:ascii="Arial" w:eastAsia="Calibri" w:hAnsi="Arial" w:cs="Arial"/>
          <w:b/>
          <w:lang w:val="mn-MN"/>
        </w:rPr>
      </w:pPr>
      <w:r w:rsidRPr="00E850F3">
        <w:rPr>
          <w:rFonts w:ascii="Arial" w:eastAsia="Calibri" w:hAnsi="Arial" w:cs="Arial"/>
          <w:b/>
          <w:lang w:val="mn-MN"/>
        </w:rPr>
        <w:t xml:space="preserve">ТӨР, ХУВИЙН ХЭВШЛИЙН ТҮНШЛЭЛИЙН </w:t>
      </w:r>
    </w:p>
    <w:p w14:paraId="54617B99" w14:textId="77777777" w:rsidR="00BC245A" w:rsidRPr="00E850F3" w:rsidRDefault="00BC245A" w:rsidP="00BC245A">
      <w:pPr>
        <w:jc w:val="center"/>
        <w:rPr>
          <w:rFonts w:ascii="Arial" w:eastAsia="Calibri" w:hAnsi="Arial" w:cs="Arial"/>
          <w:b/>
          <w:lang w:val="mn-MN"/>
        </w:rPr>
      </w:pPr>
      <w:r>
        <w:rPr>
          <w:rFonts w:ascii="Arial" w:eastAsia="Calibri" w:hAnsi="Arial" w:cs="Arial"/>
          <w:b/>
          <w:lang w:val="mn-MN"/>
        </w:rPr>
        <w:t xml:space="preserve">     </w:t>
      </w:r>
      <w:r w:rsidRPr="00E850F3">
        <w:rPr>
          <w:rFonts w:ascii="Arial" w:eastAsia="Calibri" w:hAnsi="Arial" w:cs="Arial"/>
          <w:b/>
          <w:lang w:val="mn-MN"/>
        </w:rPr>
        <w:t>ТУХАЙ ХУУЛИЙГ ДАГАЖ МӨРДӨХ</w:t>
      </w:r>
    </w:p>
    <w:p w14:paraId="3ACF7E4A" w14:textId="77777777" w:rsidR="00BC245A" w:rsidRPr="00E850F3" w:rsidRDefault="00BC245A" w:rsidP="00BC245A">
      <w:pPr>
        <w:jc w:val="center"/>
        <w:rPr>
          <w:rFonts w:ascii="Arial" w:eastAsia="Calibri" w:hAnsi="Arial" w:cs="Arial"/>
          <w:b/>
          <w:lang w:val="mn-MN"/>
        </w:rPr>
      </w:pPr>
      <w:r>
        <w:rPr>
          <w:rFonts w:ascii="Arial" w:eastAsia="Calibri" w:hAnsi="Arial" w:cs="Arial"/>
          <w:b/>
          <w:lang w:val="mn-MN"/>
        </w:rPr>
        <w:t xml:space="preserve">    </w:t>
      </w:r>
      <w:r w:rsidRPr="00E850F3">
        <w:rPr>
          <w:rFonts w:ascii="Arial" w:eastAsia="Calibri" w:hAnsi="Arial" w:cs="Arial"/>
          <w:b/>
          <w:lang w:val="mn-MN"/>
        </w:rPr>
        <w:t>ЖУРМЫН ТУХАЙ</w:t>
      </w:r>
    </w:p>
    <w:p w14:paraId="452CB154" w14:textId="77777777" w:rsidR="00BC245A" w:rsidRPr="00E850F3" w:rsidRDefault="00BC245A" w:rsidP="00BC245A">
      <w:pPr>
        <w:spacing w:line="360" w:lineRule="auto"/>
        <w:ind w:firstLine="720"/>
        <w:jc w:val="both"/>
        <w:rPr>
          <w:rFonts w:ascii="Arial" w:eastAsia="Calibri" w:hAnsi="Arial" w:cs="Arial"/>
          <w:b/>
          <w:lang w:val="mn-MN"/>
        </w:rPr>
      </w:pPr>
    </w:p>
    <w:p w14:paraId="5E9BB230"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lang w:val="mn-MN"/>
        </w:rPr>
        <w:t>1 дүгээр зүйл.</w:t>
      </w:r>
      <w:r w:rsidRPr="00E850F3">
        <w:rPr>
          <w:rFonts w:ascii="Arial" w:eastAsia="Calibri" w:hAnsi="Arial" w:cs="Arial"/>
          <w:lang w:val="mn-MN"/>
        </w:rPr>
        <w:t xml:space="preserve">Төр, хувийн хэвшлийн түншлэлийн тухай хуулийг </w:t>
      </w:r>
      <w:r w:rsidRPr="00E850F3">
        <w:rPr>
          <w:rFonts w:ascii="Arial" w:eastAsia="Calibri" w:hAnsi="Arial" w:cs="Arial"/>
          <w:bCs/>
          <w:iCs/>
          <w:lang w:val="mn-MN"/>
        </w:rPr>
        <w:t>буцаан</w:t>
      </w:r>
      <w:r w:rsidRPr="00E850F3">
        <w:rPr>
          <w:rFonts w:ascii="Arial" w:eastAsia="Calibri" w:hAnsi="Arial" w:cs="Arial"/>
          <w:lang w:val="mn-MN"/>
        </w:rPr>
        <w:t xml:space="preserve"> хэрэглэхгүй. </w:t>
      </w:r>
    </w:p>
    <w:p w14:paraId="160FD101" w14:textId="77777777" w:rsidR="00BC245A" w:rsidRPr="00E850F3" w:rsidRDefault="00BC245A" w:rsidP="00BC245A">
      <w:pPr>
        <w:ind w:firstLine="720"/>
        <w:jc w:val="both"/>
        <w:rPr>
          <w:rFonts w:ascii="Arial" w:eastAsia="Calibri" w:hAnsi="Arial" w:cs="Arial"/>
          <w:b/>
          <w:lang w:val="mn-MN"/>
        </w:rPr>
      </w:pPr>
    </w:p>
    <w:p w14:paraId="77D1C69C"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lang w:val="mn-MN"/>
        </w:rPr>
        <w:t>2 дугаар зүйл.</w:t>
      </w:r>
      <w:r w:rsidRPr="00E850F3">
        <w:rPr>
          <w:rFonts w:ascii="Arial" w:eastAsia="Calibri" w:hAnsi="Arial" w:cs="Arial"/>
          <w:lang w:val="mn-MN"/>
        </w:rPr>
        <w:t>Төр, хувийн хэвшлийн түншлэлийн тухай хууль хүчин төгөлдөр болохоос өмнө Концессын тухай хуулийн дагуу байгуулагдсан концессын гэрээ болон бусад дагалдах гэрээний нөхцөл нь хүчин төгөлдөр хэвээр байна.</w:t>
      </w:r>
      <w:r w:rsidRPr="00E850F3">
        <w:rPr>
          <w:rFonts w:ascii="Arial" w:eastAsia="Calibri" w:hAnsi="Arial" w:cs="Arial"/>
          <w:b/>
          <w:lang w:val="mn-MN"/>
        </w:rPr>
        <w:t xml:space="preserve"> </w:t>
      </w:r>
    </w:p>
    <w:p w14:paraId="45BD582A" w14:textId="77777777" w:rsidR="00BC245A" w:rsidRPr="00E850F3" w:rsidRDefault="00BC245A" w:rsidP="00BC245A">
      <w:pPr>
        <w:ind w:firstLine="720"/>
        <w:jc w:val="both"/>
        <w:rPr>
          <w:rFonts w:ascii="Arial" w:eastAsia="Calibri" w:hAnsi="Arial" w:cs="Arial"/>
          <w:b/>
          <w:bCs/>
          <w:lang w:val="mn-MN"/>
        </w:rPr>
      </w:pPr>
    </w:p>
    <w:p w14:paraId="0BEC2917"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bCs/>
          <w:lang w:val="mn-MN"/>
        </w:rPr>
        <w:t>3 дугаар зүйл.</w:t>
      </w:r>
      <w:r w:rsidRPr="00E850F3">
        <w:rPr>
          <w:rFonts w:ascii="Arial" w:eastAsia="Calibri" w:hAnsi="Arial" w:cs="Arial"/>
          <w:lang w:val="mn-MN"/>
        </w:rPr>
        <w:t>Төр, хувийн хэвшлийн түншлэлийн тухай хууль хүчин төгөлдөр болохоос өмнө Концессын тухай хуулийн дагуу байгуулагдсан концессын гэрээ, дагалдах гэрээ нь Төр, хувийн хэвшлийн түншлэлийн тухай хуультай зөрчилдсөн тохиолдолд тухайн гэрээний нөхцөлийг баримтална.</w:t>
      </w:r>
    </w:p>
    <w:p w14:paraId="7DF1050F" w14:textId="77777777" w:rsidR="00BC245A" w:rsidRPr="00E850F3" w:rsidRDefault="00BC245A" w:rsidP="00BC245A">
      <w:pPr>
        <w:ind w:firstLine="720"/>
        <w:jc w:val="both"/>
        <w:rPr>
          <w:rFonts w:ascii="Arial" w:eastAsia="Calibri" w:hAnsi="Arial" w:cs="Arial"/>
          <w:b/>
          <w:bCs/>
          <w:strike/>
          <w:lang w:val="mn-MN"/>
        </w:rPr>
      </w:pPr>
    </w:p>
    <w:p w14:paraId="225C0903"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bCs/>
          <w:lang w:val="mn-MN"/>
        </w:rPr>
        <w:t>4 дүгээр зүйл.</w:t>
      </w:r>
      <w:r w:rsidRPr="00E850F3">
        <w:rPr>
          <w:rFonts w:ascii="Arial" w:eastAsia="Calibri" w:hAnsi="Arial" w:cs="Arial"/>
          <w:lang w:val="mn-MN"/>
        </w:rPr>
        <w:t>Хэрэв концессын гэрээг энэ хууль батлагдахаас өмнө байгуулсан, харин дагалдах гэрээнд гарын үсэг зураагүй бол Концессын тухай хууль хүчинтэй байх хугацаанд баталгаажуулсан гэж үзэн, дагалдах гэрээг энэ хууль батлагдахаас өмнө байгуулсанд тооцно.</w:t>
      </w:r>
    </w:p>
    <w:p w14:paraId="3FD2759B" w14:textId="77777777" w:rsidR="00BC245A" w:rsidRPr="00E850F3" w:rsidRDefault="00BC245A" w:rsidP="00BC245A">
      <w:pPr>
        <w:ind w:firstLine="720"/>
        <w:jc w:val="both"/>
        <w:rPr>
          <w:rFonts w:ascii="Arial" w:eastAsia="Calibri" w:hAnsi="Arial" w:cs="Arial"/>
          <w:b/>
          <w:lang w:val="mn-MN"/>
        </w:rPr>
      </w:pPr>
    </w:p>
    <w:p w14:paraId="07F69A06"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lang w:val="mn-MN"/>
        </w:rPr>
        <w:t>5 дугаар зүйл.</w:t>
      </w:r>
      <w:r w:rsidRPr="00E850F3">
        <w:rPr>
          <w:rFonts w:ascii="Arial" w:eastAsia="Calibri" w:hAnsi="Arial" w:cs="Arial"/>
          <w:lang w:val="mn-MN"/>
        </w:rPr>
        <w:t>Энэ хууль хүчин төгөлдөр үйлчлэхээс өмнө гарын үсэг зурагдсан концессын гэрээ, дагалдах гэрээний нэмэлт, өөрчлөлт, эсхүл сунгалт хүчин төгөлдөр байна.</w:t>
      </w:r>
    </w:p>
    <w:p w14:paraId="1A7F7C13" w14:textId="77777777" w:rsidR="00BC245A" w:rsidRPr="00E850F3" w:rsidRDefault="00BC245A" w:rsidP="00BC245A">
      <w:pPr>
        <w:ind w:firstLine="720"/>
        <w:jc w:val="both"/>
        <w:rPr>
          <w:rFonts w:ascii="Arial" w:eastAsia="Calibri" w:hAnsi="Arial" w:cs="Arial"/>
          <w:b/>
          <w:lang w:val="mn-MN"/>
        </w:rPr>
      </w:pPr>
    </w:p>
    <w:p w14:paraId="27C7989B" w14:textId="77777777" w:rsidR="00BC245A" w:rsidRPr="00E850F3" w:rsidRDefault="00BC245A" w:rsidP="00BC245A">
      <w:pPr>
        <w:ind w:firstLine="720"/>
        <w:jc w:val="both"/>
        <w:rPr>
          <w:rFonts w:ascii="Arial" w:eastAsia="Calibri" w:hAnsi="Arial" w:cs="Arial"/>
          <w:b/>
          <w:lang w:val="mn-MN"/>
        </w:rPr>
      </w:pPr>
      <w:r w:rsidRPr="00E850F3">
        <w:rPr>
          <w:rFonts w:ascii="Arial" w:eastAsia="Calibri" w:hAnsi="Arial" w:cs="Arial"/>
          <w:b/>
          <w:lang w:val="mn-MN"/>
        </w:rPr>
        <w:t>6 дугаар зүйл</w:t>
      </w:r>
      <w:r w:rsidRPr="00C86D19">
        <w:rPr>
          <w:rFonts w:ascii="Arial" w:eastAsia="Calibri" w:hAnsi="Arial" w:cs="Arial"/>
          <w:b/>
          <w:bCs/>
          <w:lang w:val="mn-MN"/>
        </w:rPr>
        <w:t>.</w:t>
      </w:r>
      <w:r w:rsidRPr="00E850F3">
        <w:rPr>
          <w:rFonts w:ascii="Arial" w:eastAsia="Calibri" w:hAnsi="Arial" w:cs="Arial"/>
          <w:lang w:val="mn-MN"/>
        </w:rPr>
        <w:t>Төрийн түншлэгч этгээд нь төр, хувийн хэвшлийн түншлэлээр хэрэгжүүлэхээр боловсруулж байсан болон боловсруулж байгаа төслийн санал, мэдээлэл, холбогдох баримт бичгүүдийг төр, хувийн хэвшлийн түншлэлийн болон санхүү, төсвийн асуудал эрхэлсэн төрийн захиргааны төв байгууллагад Төр, хувийн хэвшлийн түншлэлийн тухай хууль батлагдсанаас хойш 2 сарын дотор хүргүүлнэ.</w:t>
      </w:r>
      <w:bookmarkStart w:id="0" w:name="_Hlk88593378"/>
    </w:p>
    <w:bookmarkEnd w:id="0"/>
    <w:p w14:paraId="2F363286" w14:textId="77777777" w:rsidR="00BC245A" w:rsidRPr="00E850F3" w:rsidRDefault="00BC245A" w:rsidP="00BC245A">
      <w:pPr>
        <w:ind w:firstLine="720"/>
        <w:jc w:val="both"/>
        <w:rPr>
          <w:rFonts w:ascii="Arial" w:eastAsia="Calibri" w:hAnsi="Arial" w:cs="Arial"/>
          <w:lang w:val="mn-MN"/>
        </w:rPr>
      </w:pPr>
    </w:p>
    <w:p w14:paraId="4D3D0BB5" w14:textId="77777777" w:rsidR="00BC245A" w:rsidRPr="00E850F3" w:rsidRDefault="00BC245A" w:rsidP="00BC245A">
      <w:pPr>
        <w:ind w:firstLine="720"/>
        <w:jc w:val="both"/>
        <w:rPr>
          <w:rFonts w:ascii="Arial" w:eastAsia="Calibri" w:hAnsi="Arial" w:cs="Arial"/>
          <w:b/>
          <w:bCs/>
          <w:color w:val="FF0000"/>
          <w:lang w:val="mn-MN"/>
        </w:rPr>
      </w:pPr>
      <w:r w:rsidRPr="00E850F3">
        <w:rPr>
          <w:rFonts w:ascii="Arial" w:eastAsia="Calibri" w:hAnsi="Arial" w:cs="Arial"/>
          <w:b/>
          <w:bCs/>
          <w:color w:val="000000" w:themeColor="text1"/>
          <w:lang w:val="mn-MN"/>
        </w:rPr>
        <w:t>7 дугаар зүйл.</w:t>
      </w:r>
      <w:r w:rsidRPr="00E850F3">
        <w:rPr>
          <w:rFonts w:ascii="Arial" w:eastAsia="Calibri" w:hAnsi="Arial" w:cs="Arial"/>
          <w:color w:val="000000" w:themeColor="text1"/>
          <w:lang w:val="mn-MN"/>
        </w:rPr>
        <w:t>Энэ хууль</w:t>
      </w:r>
      <w:r w:rsidRPr="00E850F3">
        <w:rPr>
          <w:rFonts w:ascii="Arial" w:hAnsi="Arial" w:cs="Arial"/>
          <w:color w:val="000000" w:themeColor="text1"/>
          <w:lang w:val="mn-MN"/>
        </w:rPr>
        <w:t xml:space="preserve"> хүчин төгөлдөр үйлчлэхээс өмнө </w:t>
      </w:r>
      <w:r w:rsidRPr="00E850F3">
        <w:rPr>
          <w:rFonts w:ascii="Arial" w:eastAsia="Calibri" w:hAnsi="Arial" w:cs="Arial"/>
          <w:color w:val="000000" w:themeColor="text1"/>
          <w:lang w:val="mn-MN"/>
        </w:rPr>
        <w:t xml:space="preserve">Концессын тухай хуулийн дагуу байгуулсан концессын гэрээнүүдэд Төр, хувийн хэвшлийн түншлэлийн болон </w:t>
      </w:r>
      <w:r w:rsidRPr="00E850F3">
        <w:rPr>
          <w:rFonts w:ascii="Arial" w:eastAsia="Calibri" w:hAnsi="Arial" w:cs="Arial"/>
          <w:bCs/>
          <w:iCs/>
          <w:color w:val="000000" w:themeColor="text1"/>
          <w:lang w:val="mn-MN"/>
        </w:rPr>
        <w:t>тухайн</w:t>
      </w:r>
      <w:r w:rsidRPr="00E850F3">
        <w:rPr>
          <w:rFonts w:ascii="Arial" w:eastAsia="Calibri" w:hAnsi="Arial" w:cs="Arial"/>
          <w:color w:val="000000" w:themeColor="text1"/>
          <w:lang w:val="mn-MN"/>
        </w:rPr>
        <w:t xml:space="preserve"> асуудал эрхэлсэн төрийн захиргааны төв байгууллагатай хамтран үнэлгээ хийж, цаашид үргэлжлүүлэн хэрэгжүүлэх, нэмэлт, өөрчлөлт оруулах, дуусгавар болгох, цуцлах концессын гэрээнүүдийг Засгийн газар холбогдох хууль тогтоомжид заасны дагуу шийдвэрлэнэ.</w:t>
      </w:r>
    </w:p>
    <w:p w14:paraId="39F6EE1B" w14:textId="6AA306DA" w:rsidR="00BC245A" w:rsidRDefault="00BC245A" w:rsidP="00BC245A">
      <w:pPr>
        <w:ind w:firstLine="720"/>
        <w:jc w:val="both"/>
        <w:rPr>
          <w:rFonts w:ascii="Arial" w:eastAsia="Calibri" w:hAnsi="Arial" w:cs="Arial"/>
          <w:color w:val="000000" w:themeColor="text1"/>
          <w:lang w:val="mn-MN"/>
        </w:rPr>
      </w:pPr>
      <w:r w:rsidRPr="00E850F3">
        <w:rPr>
          <w:rFonts w:ascii="Arial" w:hAnsi="Arial" w:cs="Arial"/>
          <w:b/>
          <w:bCs/>
          <w:lang w:val="mn-MN"/>
        </w:rPr>
        <w:t>8 дугаар зүйл.</w:t>
      </w:r>
      <w:r w:rsidRPr="00E850F3">
        <w:rPr>
          <w:rFonts w:ascii="Arial" w:eastAsia="Calibri" w:hAnsi="Arial" w:cs="Arial"/>
          <w:lang w:val="mn-MN"/>
        </w:rPr>
        <w:t xml:space="preserve">Төр, хувийн хэвшлийн түншлэлийн тухай хуульд заасан дүрэм, журам, аргачлал, холбогдох бусад баримт бичгийг хууль </w:t>
      </w:r>
      <w:r w:rsidRPr="00E850F3">
        <w:rPr>
          <w:rFonts w:ascii="Arial" w:eastAsia="Calibri" w:hAnsi="Arial" w:cs="Arial"/>
          <w:color w:val="000000" w:themeColor="text1"/>
          <w:lang w:val="mn-MN"/>
        </w:rPr>
        <w:t>батлагдсанаас</w:t>
      </w:r>
      <w:r w:rsidRPr="00E850F3">
        <w:rPr>
          <w:rFonts w:ascii="Arial" w:eastAsia="Calibri" w:hAnsi="Arial" w:cs="Arial"/>
          <w:color w:val="0070C0"/>
          <w:lang w:val="mn-MN"/>
        </w:rPr>
        <w:t xml:space="preserve"> </w:t>
      </w:r>
      <w:r w:rsidRPr="00E850F3">
        <w:rPr>
          <w:rFonts w:ascii="Arial" w:eastAsia="Calibri" w:hAnsi="Arial" w:cs="Arial"/>
          <w:lang w:val="mn-MN"/>
        </w:rPr>
        <w:t xml:space="preserve">хойш 6 сарын хугацаанд шинээр болон шинэчлэн боловсруулж </w:t>
      </w:r>
      <w:r w:rsidRPr="00E850F3">
        <w:rPr>
          <w:rFonts w:ascii="Arial" w:eastAsia="Calibri" w:hAnsi="Arial" w:cs="Arial"/>
          <w:color w:val="000000" w:themeColor="text1"/>
          <w:lang w:val="mn-MN"/>
        </w:rPr>
        <w:t>батална.</w:t>
      </w:r>
    </w:p>
    <w:p w14:paraId="0B4AC129" w14:textId="77777777" w:rsidR="00395F9E" w:rsidRPr="00E850F3" w:rsidRDefault="00395F9E" w:rsidP="00BC245A">
      <w:pPr>
        <w:ind w:firstLine="720"/>
        <w:jc w:val="both"/>
        <w:rPr>
          <w:rFonts w:ascii="Arial" w:eastAsia="Calibri" w:hAnsi="Arial" w:cs="Arial"/>
          <w:b/>
          <w:lang w:val="mn-MN"/>
        </w:rPr>
      </w:pPr>
    </w:p>
    <w:p w14:paraId="4DE10987" w14:textId="77777777" w:rsidR="00395F9E" w:rsidRDefault="00395F9E" w:rsidP="00395F9E">
      <w:pPr>
        <w:ind w:firstLine="709"/>
        <w:jc w:val="both"/>
        <w:rPr>
          <w:rStyle w:val="normaltextrun"/>
          <w:rFonts w:ascii="Arial" w:hAnsi="Arial" w:cs="Arial"/>
          <w:color w:val="000000"/>
          <w:lang w:val="mn-MN"/>
        </w:rPr>
      </w:pPr>
      <w:r w:rsidRPr="00C57FE0">
        <w:rPr>
          <w:rStyle w:val="normaltextrun"/>
          <w:rFonts w:ascii="Arial" w:hAnsi="Arial" w:cs="Arial"/>
          <w:b/>
          <w:bCs/>
          <w:color w:val="000000"/>
          <w:lang w:val="mn-MN"/>
        </w:rPr>
        <w:lastRenderedPageBreak/>
        <w:t>8</w:t>
      </w:r>
      <w:r w:rsidRPr="00C57FE0">
        <w:rPr>
          <w:rStyle w:val="normaltextrun"/>
          <w:rFonts w:ascii="Arial" w:hAnsi="Arial" w:cs="Arial"/>
          <w:b/>
          <w:bCs/>
          <w:color w:val="000000"/>
          <w:vertAlign w:val="superscript"/>
          <w:lang w:val="mn-MN"/>
        </w:rPr>
        <w:t>1</w:t>
      </w:r>
      <w:r w:rsidRPr="00C57FE0">
        <w:rPr>
          <w:rStyle w:val="normaltextrun"/>
          <w:rFonts w:ascii="Arial" w:hAnsi="Arial" w:cs="Arial"/>
          <w:b/>
          <w:bCs/>
          <w:color w:val="000000"/>
          <w:lang w:val="mn-MN"/>
        </w:rPr>
        <w:t xml:space="preserve"> дүгээр зүйл.</w:t>
      </w:r>
      <w:r w:rsidRPr="00C57FE0">
        <w:rPr>
          <w:rStyle w:val="normaltextrun"/>
          <w:rFonts w:ascii="Arial" w:hAnsi="Arial" w:cs="Arial"/>
          <w:color w:val="000000"/>
          <w:lang w:val="mn-MN"/>
        </w:rPr>
        <w:t>Төр, хувийн хэвшлийн түншлэлийн тухай хуулийн 12 дугаар зүйлийн 12.1-д заасан Түншлэлийн төвийг байгуулах хүртэл уг төвийн чиг үүргийг төр, хувийн хэвшлийн түншлэлийн асуудал эрхэлсэн төрийн захиргааны төв байгууллага хэрэгжүүлнэ.</w:t>
      </w:r>
    </w:p>
    <w:p w14:paraId="4D374C65" w14:textId="77777777" w:rsidR="00395F9E" w:rsidRPr="00526116" w:rsidRDefault="00395F9E" w:rsidP="00395F9E">
      <w:pPr>
        <w:jc w:val="both"/>
        <w:rPr>
          <w:rStyle w:val="normaltextrun"/>
          <w:rFonts w:ascii="Arial" w:hAnsi="Arial" w:cs="Arial"/>
          <w:i/>
          <w:color w:val="000000"/>
          <w:sz w:val="20"/>
          <w:szCs w:val="20"/>
        </w:rPr>
      </w:pPr>
      <w:hyperlink r:id="rId5" w:history="1">
        <w:r w:rsidRPr="00526116">
          <w:rPr>
            <w:rStyle w:val="Hyperlink"/>
            <w:rFonts w:ascii="Arial" w:hAnsi="Arial" w:cs="Arial"/>
            <w:i/>
            <w:sz w:val="20"/>
            <w:szCs w:val="20"/>
          </w:rPr>
          <w:t>/</w:t>
        </w:r>
        <w:proofErr w:type="spellStart"/>
        <w:r w:rsidRPr="00526116">
          <w:rPr>
            <w:rStyle w:val="Hyperlink"/>
            <w:rFonts w:ascii="Arial" w:hAnsi="Arial" w:cs="Arial"/>
            <w:i/>
            <w:sz w:val="20"/>
            <w:szCs w:val="20"/>
          </w:rPr>
          <w:t>Энэ</w:t>
        </w:r>
        <w:proofErr w:type="spellEnd"/>
        <w:r w:rsidRPr="00526116">
          <w:rPr>
            <w:rStyle w:val="Hyperlink"/>
            <w:rFonts w:ascii="Arial" w:hAnsi="Arial" w:cs="Arial"/>
            <w:i/>
            <w:sz w:val="20"/>
            <w:szCs w:val="20"/>
          </w:rPr>
          <w:t xml:space="preserve"> </w:t>
        </w:r>
        <w:r w:rsidRPr="00526116">
          <w:rPr>
            <w:rStyle w:val="Hyperlink"/>
            <w:rFonts w:ascii="Arial" w:hAnsi="Arial" w:cs="Arial"/>
            <w:i/>
            <w:sz w:val="20"/>
            <w:szCs w:val="20"/>
            <w:lang w:val="mn-MN"/>
          </w:rPr>
          <w:t>зүйлийг</w:t>
        </w:r>
        <w:r w:rsidRPr="00526116">
          <w:rPr>
            <w:rStyle w:val="Hyperlink"/>
            <w:rFonts w:ascii="Arial" w:hAnsi="Arial" w:cs="Arial"/>
            <w:i/>
            <w:sz w:val="20"/>
            <w:szCs w:val="20"/>
          </w:rPr>
          <w:t xml:space="preserve"> 2023 </w:t>
        </w:r>
        <w:proofErr w:type="spellStart"/>
        <w:r w:rsidRPr="00526116">
          <w:rPr>
            <w:rStyle w:val="Hyperlink"/>
            <w:rFonts w:ascii="Arial" w:hAnsi="Arial" w:cs="Arial"/>
            <w:i/>
            <w:sz w:val="20"/>
            <w:szCs w:val="20"/>
          </w:rPr>
          <w:t>оны</w:t>
        </w:r>
        <w:proofErr w:type="spellEnd"/>
        <w:r w:rsidRPr="00526116">
          <w:rPr>
            <w:rStyle w:val="Hyperlink"/>
            <w:rFonts w:ascii="Arial" w:hAnsi="Arial" w:cs="Arial"/>
            <w:i/>
            <w:sz w:val="20"/>
            <w:szCs w:val="20"/>
          </w:rPr>
          <w:t xml:space="preserve"> 11 </w:t>
        </w:r>
        <w:proofErr w:type="spellStart"/>
        <w:r w:rsidRPr="00526116">
          <w:rPr>
            <w:rStyle w:val="Hyperlink"/>
            <w:rFonts w:ascii="Arial" w:hAnsi="Arial" w:cs="Arial"/>
            <w:i/>
            <w:sz w:val="20"/>
            <w:szCs w:val="20"/>
          </w:rPr>
          <w:t>дүгээр</w:t>
        </w:r>
        <w:proofErr w:type="spellEnd"/>
        <w:r w:rsidRPr="00526116">
          <w:rPr>
            <w:rStyle w:val="Hyperlink"/>
            <w:rFonts w:ascii="Arial" w:hAnsi="Arial" w:cs="Arial"/>
            <w:i/>
            <w:sz w:val="20"/>
            <w:szCs w:val="20"/>
          </w:rPr>
          <w:t xml:space="preserve"> </w:t>
        </w:r>
        <w:proofErr w:type="spellStart"/>
        <w:r w:rsidRPr="00526116">
          <w:rPr>
            <w:rStyle w:val="Hyperlink"/>
            <w:rFonts w:ascii="Arial" w:hAnsi="Arial" w:cs="Arial"/>
            <w:i/>
            <w:sz w:val="20"/>
            <w:szCs w:val="20"/>
          </w:rPr>
          <w:t>сарын</w:t>
        </w:r>
        <w:proofErr w:type="spellEnd"/>
        <w:r w:rsidRPr="00526116">
          <w:rPr>
            <w:rStyle w:val="Hyperlink"/>
            <w:rFonts w:ascii="Arial" w:hAnsi="Arial" w:cs="Arial"/>
            <w:i/>
            <w:sz w:val="20"/>
            <w:szCs w:val="20"/>
          </w:rPr>
          <w:t xml:space="preserve"> 10-ны </w:t>
        </w:r>
        <w:proofErr w:type="spellStart"/>
        <w:r w:rsidRPr="00526116">
          <w:rPr>
            <w:rStyle w:val="Hyperlink"/>
            <w:rFonts w:ascii="Arial" w:hAnsi="Arial" w:cs="Arial"/>
            <w:i/>
            <w:sz w:val="20"/>
            <w:szCs w:val="20"/>
          </w:rPr>
          <w:t>өдрийн</w:t>
        </w:r>
        <w:proofErr w:type="spellEnd"/>
        <w:r w:rsidRPr="00526116">
          <w:rPr>
            <w:rStyle w:val="Hyperlink"/>
            <w:rFonts w:ascii="Arial" w:hAnsi="Arial" w:cs="Arial"/>
            <w:i/>
            <w:sz w:val="20"/>
            <w:szCs w:val="20"/>
          </w:rPr>
          <w:t xml:space="preserve"> </w:t>
        </w:r>
        <w:proofErr w:type="spellStart"/>
        <w:r w:rsidRPr="00526116">
          <w:rPr>
            <w:rStyle w:val="Hyperlink"/>
            <w:rFonts w:ascii="Arial" w:hAnsi="Arial" w:cs="Arial"/>
            <w:i/>
            <w:sz w:val="20"/>
            <w:szCs w:val="20"/>
          </w:rPr>
          <w:t>хуулиар</w:t>
        </w:r>
        <w:proofErr w:type="spellEnd"/>
        <w:r w:rsidRPr="00526116">
          <w:rPr>
            <w:rStyle w:val="Hyperlink"/>
            <w:rFonts w:ascii="Arial" w:hAnsi="Arial" w:cs="Arial"/>
            <w:i/>
            <w:sz w:val="20"/>
            <w:szCs w:val="20"/>
          </w:rPr>
          <w:t xml:space="preserve"> </w:t>
        </w:r>
        <w:proofErr w:type="spellStart"/>
        <w:r w:rsidRPr="00526116">
          <w:rPr>
            <w:rStyle w:val="Hyperlink"/>
            <w:rFonts w:ascii="Arial" w:hAnsi="Arial" w:cs="Arial"/>
            <w:i/>
            <w:sz w:val="20"/>
            <w:szCs w:val="20"/>
          </w:rPr>
          <w:t>нэм</w:t>
        </w:r>
        <w:proofErr w:type="spellEnd"/>
        <w:r w:rsidRPr="00526116">
          <w:rPr>
            <w:rStyle w:val="Hyperlink"/>
            <w:rFonts w:ascii="Arial" w:hAnsi="Arial" w:cs="Arial"/>
            <w:i/>
            <w:sz w:val="20"/>
            <w:szCs w:val="20"/>
            <w:lang w:val="mn-MN"/>
          </w:rPr>
          <w:t xml:space="preserve">сэн бөгөөд 2024 оны 01 дүгээр сарын 01-ний өдрөөс дагаж </w:t>
        </w:r>
        <w:proofErr w:type="gramStart"/>
        <w:r w:rsidRPr="00526116">
          <w:rPr>
            <w:rStyle w:val="Hyperlink"/>
            <w:rFonts w:ascii="Arial" w:hAnsi="Arial" w:cs="Arial"/>
            <w:i/>
            <w:sz w:val="20"/>
            <w:szCs w:val="20"/>
            <w:lang w:val="mn-MN"/>
          </w:rPr>
          <w:t>мөрдөнө</w:t>
        </w:r>
        <w:r w:rsidRPr="00526116">
          <w:rPr>
            <w:rStyle w:val="Hyperlink"/>
            <w:rFonts w:ascii="Arial" w:hAnsi="Arial" w:cs="Arial"/>
            <w:bCs/>
            <w:i/>
            <w:sz w:val="20"/>
            <w:szCs w:val="20"/>
          </w:rPr>
          <w:t>.</w:t>
        </w:r>
        <w:r w:rsidRPr="00526116">
          <w:rPr>
            <w:rStyle w:val="Hyperlink"/>
            <w:rFonts w:ascii="Arial" w:hAnsi="Arial" w:cs="Arial"/>
            <w:i/>
            <w:sz w:val="20"/>
            <w:szCs w:val="20"/>
          </w:rPr>
          <w:t>/</w:t>
        </w:r>
        <w:proofErr w:type="gramEnd"/>
      </w:hyperlink>
    </w:p>
    <w:p w14:paraId="511942FF" w14:textId="77777777" w:rsidR="00BC245A" w:rsidRPr="00E850F3" w:rsidRDefault="00BC245A" w:rsidP="00BC245A">
      <w:pPr>
        <w:jc w:val="both"/>
        <w:rPr>
          <w:rFonts w:ascii="Arial" w:eastAsia="Calibri" w:hAnsi="Arial" w:cs="Arial"/>
          <w:b/>
          <w:lang w:val="mn-MN"/>
        </w:rPr>
      </w:pPr>
    </w:p>
    <w:p w14:paraId="512C0B86" w14:textId="77777777" w:rsidR="00BC245A" w:rsidRPr="00E850F3" w:rsidRDefault="00BC245A" w:rsidP="00BC245A">
      <w:pPr>
        <w:ind w:firstLine="720"/>
        <w:jc w:val="both"/>
        <w:rPr>
          <w:rFonts w:ascii="Arial" w:eastAsia="Calibri" w:hAnsi="Arial" w:cs="Arial"/>
          <w:lang w:val="mn-MN"/>
        </w:rPr>
      </w:pPr>
      <w:r w:rsidRPr="00E850F3">
        <w:rPr>
          <w:rFonts w:ascii="Arial" w:eastAsia="Calibri" w:hAnsi="Arial" w:cs="Arial"/>
          <w:b/>
          <w:bCs/>
          <w:lang w:val="mn-MN"/>
        </w:rPr>
        <w:t>9 дүгээр зүйл.</w:t>
      </w:r>
      <w:r w:rsidRPr="00E850F3">
        <w:rPr>
          <w:rFonts w:ascii="Arial" w:eastAsia="Calibri" w:hAnsi="Arial" w:cs="Arial"/>
          <w:lang w:val="mn-MN"/>
        </w:rPr>
        <w:t xml:space="preserve">Энэ хуулийг Төр, хувийн хэвшлийн түншлэлийн тухай хууль хүчин төгөлдөр болсон өдрөөс эхлэн дагаж мөрдөнө. </w:t>
      </w:r>
    </w:p>
    <w:p w14:paraId="21C2FA2F" w14:textId="77777777" w:rsidR="00BC245A" w:rsidRPr="00E850F3" w:rsidRDefault="00BC245A" w:rsidP="00BC245A">
      <w:pPr>
        <w:ind w:firstLine="720"/>
        <w:jc w:val="center"/>
        <w:rPr>
          <w:rFonts w:ascii="Arial" w:eastAsia="Calibri" w:hAnsi="Arial" w:cs="Arial"/>
          <w:lang w:val="mn-MN"/>
        </w:rPr>
      </w:pPr>
    </w:p>
    <w:p w14:paraId="5004A322" w14:textId="77777777" w:rsidR="00BC245A" w:rsidRPr="00E850F3" w:rsidRDefault="00BC245A" w:rsidP="00BC245A">
      <w:pPr>
        <w:ind w:firstLine="720"/>
        <w:jc w:val="center"/>
        <w:rPr>
          <w:rFonts w:ascii="Arial" w:eastAsia="Calibri" w:hAnsi="Arial" w:cs="Arial"/>
          <w:lang w:val="mn-MN"/>
        </w:rPr>
      </w:pPr>
    </w:p>
    <w:p w14:paraId="5CF322D2" w14:textId="77777777" w:rsidR="00BC245A" w:rsidRDefault="00BC245A" w:rsidP="00BC245A">
      <w:pPr>
        <w:ind w:left="720" w:firstLine="720"/>
        <w:jc w:val="both"/>
        <w:rPr>
          <w:rFonts w:ascii="Arial" w:hAnsi="Arial" w:cs="Arial"/>
          <w:color w:val="000000"/>
          <w:lang w:val="mn-MN" w:eastAsia="en-029"/>
        </w:rPr>
      </w:pPr>
    </w:p>
    <w:p w14:paraId="768BB976" w14:textId="77777777" w:rsidR="00BC245A" w:rsidRDefault="00BC245A" w:rsidP="00BC245A">
      <w:pPr>
        <w:ind w:left="720" w:firstLine="720"/>
        <w:jc w:val="both"/>
        <w:rPr>
          <w:rFonts w:ascii="Arial" w:hAnsi="Arial" w:cs="Arial"/>
          <w:color w:val="000000"/>
          <w:lang w:val="mn-MN" w:eastAsia="en-029"/>
        </w:rPr>
      </w:pPr>
    </w:p>
    <w:p w14:paraId="6956E8A3" w14:textId="77777777" w:rsidR="00BC245A" w:rsidRPr="00E850F3" w:rsidRDefault="00BC245A" w:rsidP="00BC245A">
      <w:pPr>
        <w:ind w:left="720" w:firstLine="720"/>
        <w:jc w:val="both"/>
        <w:rPr>
          <w:rFonts w:ascii="Arial" w:hAnsi="Arial" w:cs="Arial"/>
          <w:color w:val="000000"/>
          <w:lang w:val="mn-MN" w:eastAsia="en-029"/>
        </w:rPr>
      </w:pPr>
      <w:r w:rsidRPr="00E850F3">
        <w:rPr>
          <w:rFonts w:ascii="Arial" w:hAnsi="Arial" w:cs="Arial"/>
          <w:color w:val="000000"/>
          <w:lang w:val="mn-MN" w:eastAsia="en-029"/>
        </w:rPr>
        <w:t>МОНГОЛ УЛСЫН</w:t>
      </w:r>
    </w:p>
    <w:p w14:paraId="3C4096B4" w14:textId="7BA42455" w:rsidR="009E3E99" w:rsidRPr="00BC245A" w:rsidRDefault="00BC245A" w:rsidP="00BC245A">
      <w:pPr>
        <w:ind w:left="720" w:firstLine="720"/>
        <w:jc w:val="both"/>
        <w:rPr>
          <w:rFonts w:ascii="Arial" w:hAnsi="Arial" w:cs="Arial"/>
          <w:color w:val="000000"/>
          <w:lang w:val="mn-MN" w:eastAsia="en-029"/>
        </w:rPr>
      </w:pPr>
      <w:r w:rsidRPr="00E850F3">
        <w:rPr>
          <w:rFonts w:ascii="Arial" w:hAnsi="Arial" w:cs="Arial"/>
          <w:color w:val="000000"/>
          <w:lang w:val="mn-MN" w:eastAsia="en-029"/>
        </w:rPr>
        <w:t xml:space="preserve">ИХ ХУРЛЫН ДАРГА </w:t>
      </w:r>
      <w:r w:rsidRPr="00E850F3">
        <w:rPr>
          <w:rFonts w:ascii="Arial" w:hAnsi="Arial" w:cs="Arial"/>
          <w:color w:val="000000"/>
          <w:lang w:val="mn-MN" w:eastAsia="en-029"/>
        </w:rPr>
        <w:tab/>
      </w:r>
      <w:r w:rsidRPr="00E850F3">
        <w:rPr>
          <w:rFonts w:ascii="Arial" w:hAnsi="Arial" w:cs="Arial"/>
          <w:color w:val="000000"/>
          <w:lang w:val="mn-MN" w:eastAsia="en-029"/>
        </w:rPr>
        <w:tab/>
      </w:r>
      <w:r w:rsidRPr="00E850F3">
        <w:rPr>
          <w:rFonts w:ascii="Arial" w:hAnsi="Arial" w:cs="Arial"/>
          <w:color w:val="000000"/>
          <w:lang w:val="mn-MN" w:eastAsia="en-029"/>
        </w:rPr>
        <w:tab/>
      </w:r>
      <w:r>
        <w:rPr>
          <w:rFonts w:ascii="Arial" w:hAnsi="Arial" w:cs="Arial"/>
          <w:color w:val="000000"/>
          <w:lang w:val="mn-MN" w:eastAsia="en-029"/>
        </w:rPr>
        <w:tab/>
      </w:r>
      <w:r w:rsidRPr="00E850F3">
        <w:rPr>
          <w:rFonts w:ascii="Arial" w:hAnsi="Arial" w:cs="Arial"/>
          <w:color w:val="000000"/>
          <w:lang w:val="mn-MN" w:eastAsia="en-029"/>
        </w:rPr>
        <w:t>Г.ЗАНДАНШАТАР</w:t>
      </w:r>
    </w:p>
    <w:sectPr w:rsidR="009E3E99" w:rsidRPr="00BC245A"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85A6D"/>
    <w:rsid w:val="0009284E"/>
    <w:rsid w:val="00092E7C"/>
    <w:rsid w:val="000B2875"/>
    <w:rsid w:val="000B287E"/>
    <w:rsid w:val="000B4AEE"/>
    <w:rsid w:val="000B4CFB"/>
    <w:rsid w:val="000C1E87"/>
    <w:rsid w:val="000D278F"/>
    <w:rsid w:val="000E63B0"/>
    <w:rsid w:val="000F6D0A"/>
    <w:rsid w:val="00104C81"/>
    <w:rsid w:val="00105460"/>
    <w:rsid w:val="001102AC"/>
    <w:rsid w:val="001112A2"/>
    <w:rsid w:val="001122C6"/>
    <w:rsid w:val="00117571"/>
    <w:rsid w:val="001235A2"/>
    <w:rsid w:val="00133623"/>
    <w:rsid w:val="0014310A"/>
    <w:rsid w:val="001466CD"/>
    <w:rsid w:val="001525D6"/>
    <w:rsid w:val="00161432"/>
    <w:rsid w:val="00163A36"/>
    <w:rsid w:val="00173E7A"/>
    <w:rsid w:val="001776B9"/>
    <w:rsid w:val="0018466A"/>
    <w:rsid w:val="001A3C50"/>
    <w:rsid w:val="001B2AC1"/>
    <w:rsid w:val="001C010E"/>
    <w:rsid w:val="001E21D7"/>
    <w:rsid w:val="001E6B52"/>
    <w:rsid w:val="001F0D16"/>
    <w:rsid w:val="001F6BA7"/>
    <w:rsid w:val="00203449"/>
    <w:rsid w:val="0021262E"/>
    <w:rsid w:val="00213A39"/>
    <w:rsid w:val="00214760"/>
    <w:rsid w:val="00221B3B"/>
    <w:rsid w:val="00235874"/>
    <w:rsid w:val="00241505"/>
    <w:rsid w:val="00244167"/>
    <w:rsid w:val="00252211"/>
    <w:rsid w:val="00261D31"/>
    <w:rsid w:val="00273440"/>
    <w:rsid w:val="0027429E"/>
    <w:rsid w:val="0027529B"/>
    <w:rsid w:val="00280FBA"/>
    <w:rsid w:val="00282DF8"/>
    <w:rsid w:val="00290486"/>
    <w:rsid w:val="002A04F1"/>
    <w:rsid w:val="002A7BBC"/>
    <w:rsid w:val="002C7D85"/>
    <w:rsid w:val="002D207D"/>
    <w:rsid w:val="002D701D"/>
    <w:rsid w:val="002E0796"/>
    <w:rsid w:val="002E1E1D"/>
    <w:rsid w:val="002F28D9"/>
    <w:rsid w:val="002F32AA"/>
    <w:rsid w:val="002F34BA"/>
    <w:rsid w:val="002F3BAF"/>
    <w:rsid w:val="00312190"/>
    <w:rsid w:val="003147A0"/>
    <w:rsid w:val="00323CEC"/>
    <w:rsid w:val="0032410A"/>
    <w:rsid w:val="003304A4"/>
    <w:rsid w:val="00333475"/>
    <w:rsid w:val="00341AF5"/>
    <w:rsid w:val="00346615"/>
    <w:rsid w:val="00351F3E"/>
    <w:rsid w:val="00352F09"/>
    <w:rsid w:val="00353B32"/>
    <w:rsid w:val="00371964"/>
    <w:rsid w:val="00380B21"/>
    <w:rsid w:val="0038648D"/>
    <w:rsid w:val="00393D17"/>
    <w:rsid w:val="00395F9E"/>
    <w:rsid w:val="0039654D"/>
    <w:rsid w:val="003A0372"/>
    <w:rsid w:val="003A292C"/>
    <w:rsid w:val="003B439C"/>
    <w:rsid w:val="003B76BB"/>
    <w:rsid w:val="003C174B"/>
    <w:rsid w:val="003C2DBB"/>
    <w:rsid w:val="003E2B73"/>
    <w:rsid w:val="003F7AD2"/>
    <w:rsid w:val="00403E49"/>
    <w:rsid w:val="0040413F"/>
    <w:rsid w:val="00407941"/>
    <w:rsid w:val="00410982"/>
    <w:rsid w:val="00411D2E"/>
    <w:rsid w:val="00413754"/>
    <w:rsid w:val="0044214A"/>
    <w:rsid w:val="00443D2C"/>
    <w:rsid w:val="00450091"/>
    <w:rsid w:val="0045072E"/>
    <w:rsid w:val="00454907"/>
    <w:rsid w:val="004571C5"/>
    <w:rsid w:val="004624AE"/>
    <w:rsid w:val="004627D5"/>
    <w:rsid w:val="0047464B"/>
    <w:rsid w:val="004759A7"/>
    <w:rsid w:val="0049084B"/>
    <w:rsid w:val="0049411C"/>
    <w:rsid w:val="00495376"/>
    <w:rsid w:val="004A7086"/>
    <w:rsid w:val="004A799D"/>
    <w:rsid w:val="004B26A0"/>
    <w:rsid w:val="004B4AAE"/>
    <w:rsid w:val="004C3223"/>
    <w:rsid w:val="004C3665"/>
    <w:rsid w:val="004C6F40"/>
    <w:rsid w:val="004D048C"/>
    <w:rsid w:val="004D29CF"/>
    <w:rsid w:val="004D629D"/>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672BD"/>
    <w:rsid w:val="00590409"/>
    <w:rsid w:val="005921F8"/>
    <w:rsid w:val="00593D6E"/>
    <w:rsid w:val="005946B4"/>
    <w:rsid w:val="005A2A2C"/>
    <w:rsid w:val="005A7EA9"/>
    <w:rsid w:val="005B32C6"/>
    <w:rsid w:val="005B7EE5"/>
    <w:rsid w:val="005C71F6"/>
    <w:rsid w:val="005C72E5"/>
    <w:rsid w:val="005D0224"/>
    <w:rsid w:val="005D1AC0"/>
    <w:rsid w:val="005D1AF4"/>
    <w:rsid w:val="005E632D"/>
    <w:rsid w:val="005F60BF"/>
    <w:rsid w:val="00610B24"/>
    <w:rsid w:val="00620667"/>
    <w:rsid w:val="006210C4"/>
    <w:rsid w:val="0062528A"/>
    <w:rsid w:val="00625FE4"/>
    <w:rsid w:val="00631CE9"/>
    <w:rsid w:val="00634505"/>
    <w:rsid w:val="006361E2"/>
    <w:rsid w:val="006425CC"/>
    <w:rsid w:val="00650C24"/>
    <w:rsid w:val="00652019"/>
    <w:rsid w:val="006649AA"/>
    <w:rsid w:val="00685231"/>
    <w:rsid w:val="006918BB"/>
    <w:rsid w:val="006A01FD"/>
    <w:rsid w:val="006A208F"/>
    <w:rsid w:val="006A60F4"/>
    <w:rsid w:val="006B40D6"/>
    <w:rsid w:val="006D1D6A"/>
    <w:rsid w:val="006D4793"/>
    <w:rsid w:val="006E75E3"/>
    <w:rsid w:val="006F44C1"/>
    <w:rsid w:val="006F79B8"/>
    <w:rsid w:val="00706D05"/>
    <w:rsid w:val="00713F44"/>
    <w:rsid w:val="00717F3E"/>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9CA"/>
    <w:rsid w:val="00794523"/>
    <w:rsid w:val="007A73FA"/>
    <w:rsid w:val="007B0999"/>
    <w:rsid w:val="007B190E"/>
    <w:rsid w:val="007B5B58"/>
    <w:rsid w:val="007C4038"/>
    <w:rsid w:val="007D2313"/>
    <w:rsid w:val="007D7D2F"/>
    <w:rsid w:val="007E0BC8"/>
    <w:rsid w:val="007F70F6"/>
    <w:rsid w:val="00803A9B"/>
    <w:rsid w:val="00804E0B"/>
    <w:rsid w:val="00812154"/>
    <w:rsid w:val="00813A5C"/>
    <w:rsid w:val="00827240"/>
    <w:rsid w:val="008307F3"/>
    <w:rsid w:val="00832553"/>
    <w:rsid w:val="0083512F"/>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D4CDB"/>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7519D"/>
    <w:rsid w:val="00983148"/>
    <w:rsid w:val="00990924"/>
    <w:rsid w:val="009A1ED5"/>
    <w:rsid w:val="009A58A9"/>
    <w:rsid w:val="009B43A1"/>
    <w:rsid w:val="009C0A67"/>
    <w:rsid w:val="009E3E99"/>
    <w:rsid w:val="009E4BF8"/>
    <w:rsid w:val="009E67B5"/>
    <w:rsid w:val="009E6C23"/>
    <w:rsid w:val="009F193A"/>
    <w:rsid w:val="009F7015"/>
    <w:rsid w:val="00A23FB5"/>
    <w:rsid w:val="00A26C91"/>
    <w:rsid w:val="00A27B87"/>
    <w:rsid w:val="00A31AE4"/>
    <w:rsid w:val="00A33957"/>
    <w:rsid w:val="00A342C7"/>
    <w:rsid w:val="00A3491A"/>
    <w:rsid w:val="00A67E22"/>
    <w:rsid w:val="00A7532F"/>
    <w:rsid w:val="00A80BBE"/>
    <w:rsid w:val="00A90EF3"/>
    <w:rsid w:val="00A920C2"/>
    <w:rsid w:val="00A953CE"/>
    <w:rsid w:val="00AA76BC"/>
    <w:rsid w:val="00AA7AC8"/>
    <w:rsid w:val="00AB06E1"/>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A47A5"/>
    <w:rsid w:val="00BA662A"/>
    <w:rsid w:val="00BB6E05"/>
    <w:rsid w:val="00BC14EA"/>
    <w:rsid w:val="00BC245A"/>
    <w:rsid w:val="00BC79F5"/>
    <w:rsid w:val="00BE0805"/>
    <w:rsid w:val="00BE55C4"/>
    <w:rsid w:val="00BF0BDA"/>
    <w:rsid w:val="00BF6F2F"/>
    <w:rsid w:val="00C11D3E"/>
    <w:rsid w:val="00C12256"/>
    <w:rsid w:val="00C13C36"/>
    <w:rsid w:val="00C14E7F"/>
    <w:rsid w:val="00C2013B"/>
    <w:rsid w:val="00C20EE1"/>
    <w:rsid w:val="00C34B53"/>
    <w:rsid w:val="00C40241"/>
    <w:rsid w:val="00C455E4"/>
    <w:rsid w:val="00C56CF6"/>
    <w:rsid w:val="00C610BF"/>
    <w:rsid w:val="00C74639"/>
    <w:rsid w:val="00C81995"/>
    <w:rsid w:val="00C915FE"/>
    <w:rsid w:val="00C941BE"/>
    <w:rsid w:val="00C948B1"/>
    <w:rsid w:val="00CA0BEA"/>
    <w:rsid w:val="00CB23D4"/>
    <w:rsid w:val="00CB313D"/>
    <w:rsid w:val="00CC076E"/>
    <w:rsid w:val="00CC1823"/>
    <w:rsid w:val="00CC1EF4"/>
    <w:rsid w:val="00CD252B"/>
    <w:rsid w:val="00CD5D35"/>
    <w:rsid w:val="00CE4986"/>
    <w:rsid w:val="00CF6056"/>
    <w:rsid w:val="00CF71A5"/>
    <w:rsid w:val="00D07CBB"/>
    <w:rsid w:val="00D154D0"/>
    <w:rsid w:val="00D219B9"/>
    <w:rsid w:val="00D2317A"/>
    <w:rsid w:val="00D239EF"/>
    <w:rsid w:val="00D309B7"/>
    <w:rsid w:val="00D42E38"/>
    <w:rsid w:val="00D564EE"/>
    <w:rsid w:val="00D60ACC"/>
    <w:rsid w:val="00D610C7"/>
    <w:rsid w:val="00D61BAD"/>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E7518"/>
    <w:rsid w:val="00EF0CEC"/>
    <w:rsid w:val="00EF2A1D"/>
    <w:rsid w:val="00EF3E94"/>
    <w:rsid w:val="00EF4D56"/>
    <w:rsid w:val="00F04BEC"/>
    <w:rsid w:val="00F0629E"/>
    <w:rsid w:val="00F21661"/>
    <w:rsid w:val="00F22FD3"/>
    <w:rsid w:val="00F319A3"/>
    <w:rsid w:val="00F41917"/>
    <w:rsid w:val="00F500C3"/>
    <w:rsid w:val="00F56984"/>
    <w:rsid w:val="00F60456"/>
    <w:rsid w:val="00F6536E"/>
    <w:rsid w:val="00F67A4A"/>
    <w:rsid w:val="00F71795"/>
    <w:rsid w:val="00F7292D"/>
    <w:rsid w:val="00F72F2A"/>
    <w:rsid w:val="00FA2518"/>
    <w:rsid w:val="00FA6BAE"/>
    <w:rsid w:val="00FA75E1"/>
    <w:rsid w:val="00FB2708"/>
    <w:rsid w:val="00FB46A4"/>
    <w:rsid w:val="00FD796B"/>
    <w:rsid w:val="00FE2C1C"/>
    <w:rsid w:val="00FE5ADD"/>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 w:type="character" w:customStyle="1" w:styleId="highlight2">
    <w:name w:val="highlight2"/>
    <w:basedOn w:val="DefaultParagraphFont"/>
    <w:rsid w:val="009A58A9"/>
  </w:style>
  <w:style w:type="paragraph" w:styleId="NoSpacing">
    <w:name w:val="No Spacing"/>
    <w:uiPriority w:val="1"/>
    <w:qFormat/>
    <w:rsid w:val="004A7086"/>
    <w:pPr>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emelt/2023/23-ne-261.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2022-11-22T02:54:00Z</cp:lastPrinted>
  <dcterms:created xsi:type="dcterms:W3CDTF">2023-01-23T02:28:00Z</dcterms:created>
  <dcterms:modified xsi:type="dcterms:W3CDTF">2023-12-28T02:39:00Z</dcterms:modified>
</cp:coreProperties>
</file>