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6C1A16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B34BB1">
      <w:pPr>
        <w:jc w:val="center"/>
        <w:rPr>
          <w:rFonts w:ascii="Arial" w:hAnsi="Arial" w:cs="Arial"/>
          <w:b/>
          <w:bCs/>
          <w:lang w:val="mn-MN"/>
        </w:rPr>
      </w:pPr>
    </w:p>
    <w:p w:rsidR="007B77C5" w:rsidRDefault="007B77C5" w:rsidP="007B77C5">
      <w:pPr>
        <w:pStyle w:val="BodyText"/>
        <w:spacing w:after="0"/>
        <w:jc w:val="both"/>
        <w:rPr>
          <w:rFonts w:ascii="Arial" w:hAnsi="Arial"/>
          <w:b/>
          <w:color w:val="000000"/>
        </w:rPr>
      </w:pPr>
    </w:p>
    <w:p w:rsidR="00602FAD" w:rsidRDefault="00602FAD" w:rsidP="009A4DC7">
      <w:pPr>
        <w:pStyle w:val="BodyText"/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0"/>
          <w:lang w:val="mn-MN"/>
        </w:rPr>
        <w:t>ТӨСВИЙН ТУХАЙ ХУУЛЬД НЭМЭЛТ,</w:t>
      </w:r>
    </w:p>
    <w:p w:rsidR="00602FAD" w:rsidRPr="009A4DC7" w:rsidRDefault="00602FAD" w:rsidP="009A4DC7">
      <w:pPr>
        <w:pStyle w:val="BodyText"/>
        <w:spacing w:after="0"/>
        <w:jc w:val="center"/>
        <w:rPr>
          <w:rFonts w:ascii="Arial" w:hAnsi="Arial"/>
          <w:lang w:val="mn-MN"/>
        </w:rPr>
      </w:pPr>
      <w:r>
        <w:rPr>
          <w:rFonts w:ascii="Arial" w:hAnsi="Arial"/>
          <w:b/>
        </w:rPr>
        <w:t>ӨӨРЧЛӨЛТ ОРУУЛАХ ТУХАЙ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lang w:val="mn-MN"/>
        </w:rPr>
      </w:pPr>
    </w:p>
    <w:p w:rsidR="00602FAD" w:rsidRPr="00602FAD" w:rsidRDefault="00602FAD" w:rsidP="00602FAD">
      <w:pPr>
        <w:pStyle w:val="BodyText"/>
        <w:spacing w:after="0"/>
        <w:jc w:val="both"/>
        <w:rPr>
          <w:rFonts w:ascii="Arial" w:hAnsi="Arial"/>
          <w:lang w:val="mn-MN"/>
        </w:rPr>
      </w:pP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 xml:space="preserve">1 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</w:t>
      </w:r>
      <w:r>
        <w:rPr>
          <w:rFonts w:ascii="Arial" w:hAnsi="Arial"/>
        </w:rPr>
        <w:t>.Төсвийн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дурдсан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нэмсүгэй</w:t>
      </w:r>
      <w:proofErr w:type="spellEnd"/>
      <w:r>
        <w:rPr>
          <w:rFonts w:ascii="Arial" w:hAnsi="Arial"/>
        </w:rPr>
        <w:t xml:space="preserve">: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             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1/12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зүйлийн</w:t>
      </w:r>
      <w:proofErr w:type="spellEnd"/>
      <w:r>
        <w:rPr>
          <w:rFonts w:ascii="Arial" w:hAnsi="Arial"/>
          <w:b/>
        </w:rPr>
        <w:t xml:space="preserve"> 12.1.22 </w:t>
      </w:r>
      <w:proofErr w:type="spellStart"/>
      <w:r>
        <w:rPr>
          <w:rFonts w:ascii="Arial" w:hAnsi="Arial"/>
          <w:b/>
        </w:rPr>
        <w:t>дахь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заалт</w:t>
      </w:r>
      <w:proofErr w:type="spellEnd"/>
      <w:r>
        <w:rPr>
          <w:rFonts w:ascii="Arial" w:hAnsi="Arial"/>
          <w:b/>
        </w:rPr>
        <w:t xml:space="preserve">: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        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 xml:space="preserve">“12.1.22.концессын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жагсаалтын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32.2-т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танилцуулгад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удирдлагын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мэдэгдэл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эсэхийг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хянан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нийцсэн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зөвшөөрөл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олгох</w:t>
      </w:r>
      <w:proofErr w:type="spellEnd"/>
      <w:r>
        <w:rPr>
          <w:rFonts w:ascii="Arial" w:hAnsi="Arial"/>
        </w:rPr>
        <w:t>.”</w:t>
      </w:r>
      <w:proofErr w:type="gramEnd"/>
      <w:r>
        <w:rPr>
          <w:rFonts w:ascii="Arial" w:hAnsi="Arial"/>
        </w:rPr>
        <w:t xml:space="preserve">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     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2/23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зүйлийн</w:t>
      </w:r>
      <w:proofErr w:type="spellEnd"/>
      <w:r>
        <w:rPr>
          <w:rFonts w:ascii="Arial" w:hAnsi="Arial"/>
          <w:b/>
        </w:rPr>
        <w:t xml:space="preserve"> 23.12 </w:t>
      </w:r>
      <w:proofErr w:type="spellStart"/>
      <w:r>
        <w:rPr>
          <w:rFonts w:ascii="Arial" w:hAnsi="Arial"/>
          <w:b/>
        </w:rPr>
        <w:t>дахь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хэсэг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        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proofErr w:type="gramStart"/>
      <w:r>
        <w:rPr>
          <w:rFonts w:ascii="Arial" w:hAnsi="Arial"/>
          <w:color w:val="000000"/>
        </w:rPr>
        <w:t xml:space="preserve">“23.12.Энэ </w:t>
      </w:r>
      <w:proofErr w:type="spellStart"/>
      <w:r>
        <w:rPr>
          <w:rFonts w:ascii="Arial" w:hAnsi="Arial"/>
          <w:color w:val="000000"/>
        </w:rPr>
        <w:t>хуулийн</w:t>
      </w:r>
      <w:proofErr w:type="spellEnd"/>
      <w:r>
        <w:rPr>
          <w:rFonts w:ascii="Arial" w:hAnsi="Arial"/>
          <w:color w:val="000000"/>
        </w:rPr>
        <w:t xml:space="preserve"> 23 </w:t>
      </w:r>
      <w:proofErr w:type="spellStart"/>
      <w:r>
        <w:rPr>
          <w:rFonts w:ascii="Arial" w:hAnsi="Arial"/>
          <w:color w:val="000000"/>
        </w:rPr>
        <w:t>дугаар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зүйлд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заасныг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үл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харгалзан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өмч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хувьчлалын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орлогыг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төсвийн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орлого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хэсэгт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бүртгэхгүй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төсвийн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алдагдлыг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санхүүжүүлэх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эх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үүсвэр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талд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бүртгэнэ</w:t>
      </w:r>
      <w:proofErr w:type="spellEnd"/>
      <w:r>
        <w:rPr>
          <w:rFonts w:ascii="Arial" w:hAnsi="Arial"/>
          <w:color w:val="000000"/>
        </w:rPr>
        <w:t>.”</w:t>
      </w:r>
      <w:proofErr w:type="gramEnd"/>
      <w:r>
        <w:rPr>
          <w:rFonts w:ascii="Arial" w:hAnsi="Arial"/>
          <w:color w:val="000000"/>
        </w:rPr>
        <w:t xml:space="preserve">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            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3/32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зүйлийн</w:t>
      </w:r>
      <w:proofErr w:type="spellEnd"/>
      <w:r>
        <w:rPr>
          <w:rFonts w:ascii="Arial" w:hAnsi="Arial"/>
          <w:b/>
        </w:rPr>
        <w:t xml:space="preserve"> 32.2.21 </w:t>
      </w:r>
      <w:proofErr w:type="spellStart"/>
      <w:r>
        <w:rPr>
          <w:rFonts w:ascii="Arial" w:hAnsi="Arial"/>
          <w:b/>
        </w:rPr>
        <w:t>дэх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заалт</w:t>
      </w:r>
      <w:proofErr w:type="spellEnd"/>
      <w:r>
        <w:rPr>
          <w:rFonts w:ascii="Arial" w:hAnsi="Arial"/>
          <w:b/>
        </w:rPr>
        <w:t>: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Pr="00602FAD" w:rsidRDefault="00602FAD" w:rsidP="00602FAD">
      <w:pPr>
        <w:pStyle w:val="BodyText"/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</w:rPr>
        <w:t xml:space="preserve">            </w:t>
      </w:r>
      <w:r>
        <w:rPr>
          <w:rFonts w:ascii="Arial" w:hAnsi="Arial"/>
        </w:rPr>
        <w:tab/>
      </w:r>
      <w:r>
        <w:rPr>
          <w:rFonts w:ascii="Arial" w:hAnsi="Arial"/>
          <w:lang w:val="mn-MN"/>
        </w:rPr>
        <w:t>“</w:t>
      </w:r>
      <w:r>
        <w:rPr>
          <w:rFonts w:ascii="Arial" w:hAnsi="Arial"/>
        </w:rPr>
        <w:t xml:space="preserve">32.2.21.энэ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33.2.9-д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концессын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гэрээгээр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тооцоо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Концессын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10.3-т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мэдээлэл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lang w:val="mn-MN"/>
        </w:rPr>
        <w:t>”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             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4/33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зүйлийн</w:t>
      </w:r>
      <w:proofErr w:type="spellEnd"/>
      <w:r>
        <w:rPr>
          <w:rFonts w:ascii="Arial" w:hAnsi="Arial"/>
          <w:b/>
        </w:rPr>
        <w:t xml:space="preserve"> 33.2.9 </w:t>
      </w:r>
      <w:proofErr w:type="spellStart"/>
      <w:r>
        <w:rPr>
          <w:rFonts w:ascii="Arial" w:hAnsi="Arial"/>
          <w:b/>
        </w:rPr>
        <w:t>дэх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заалт</w:t>
      </w:r>
      <w:proofErr w:type="spellEnd"/>
      <w:r>
        <w:rPr>
          <w:rFonts w:ascii="Arial" w:hAnsi="Arial"/>
          <w:b/>
        </w:rPr>
        <w:t xml:space="preserve">: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Pr="00602FAD" w:rsidRDefault="00602FAD" w:rsidP="00602FAD">
      <w:pPr>
        <w:pStyle w:val="BodyText"/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</w:rPr>
        <w:t xml:space="preserve">             </w:t>
      </w:r>
      <w:r>
        <w:rPr>
          <w:rFonts w:ascii="Arial" w:hAnsi="Arial"/>
        </w:rPr>
        <w:tab/>
      </w:r>
      <w:r>
        <w:rPr>
          <w:rFonts w:ascii="Arial" w:hAnsi="Arial"/>
          <w:lang w:val="mn-MN"/>
        </w:rPr>
        <w:t>“</w:t>
      </w:r>
      <w:r>
        <w:rPr>
          <w:rFonts w:ascii="Arial" w:hAnsi="Arial"/>
        </w:rPr>
        <w:t xml:space="preserve">33.2.9.Концессын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4.1.2-т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концессын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жагсаалтыг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хавсралтаар</w:t>
      </w:r>
      <w:proofErr w:type="spellEnd"/>
      <w:r>
        <w:rPr>
          <w:rFonts w:ascii="Arial" w:hAnsi="Arial"/>
        </w:rPr>
        <w:t xml:space="preserve"> /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байршил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тэдгээрт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тавигдах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нөхцөл</w:t>
      </w:r>
      <w:proofErr w:type="spellEnd"/>
      <w:r>
        <w:rPr>
          <w:rFonts w:ascii="Arial" w:hAnsi="Arial"/>
        </w:rPr>
        <w:t>/.</w:t>
      </w:r>
      <w:r>
        <w:rPr>
          <w:rFonts w:ascii="Arial" w:hAnsi="Arial"/>
          <w:lang w:val="mn-MN"/>
        </w:rPr>
        <w:t>”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             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5/59 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зүйлийн</w:t>
      </w:r>
      <w:proofErr w:type="spellEnd"/>
      <w:r>
        <w:rPr>
          <w:rFonts w:ascii="Arial" w:hAnsi="Arial"/>
          <w:b/>
        </w:rPr>
        <w:t xml:space="preserve"> 59.2.4 </w:t>
      </w:r>
      <w:proofErr w:type="spellStart"/>
      <w:r>
        <w:rPr>
          <w:rFonts w:ascii="Arial" w:hAnsi="Arial"/>
          <w:b/>
        </w:rPr>
        <w:t>дэх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заалт</w:t>
      </w:r>
      <w:proofErr w:type="spellEnd"/>
      <w:r>
        <w:rPr>
          <w:rFonts w:ascii="Arial" w:hAnsi="Arial"/>
          <w:b/>
        </w:rPr>
        <w:t>: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            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 xml:space="preserve">“59.2.4.энэ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59.1.3, 60.2.5-д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үүсвэрийг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хандивлагч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урамшуулал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дэмжлэг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тусгайлан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дүүргийн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хуваарилах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итгэлцүүрээр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хуваарилах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тооцохгүй</w:t>
      </w:r>
      <w:proofErr w:type="spellEnd"/>
      <w:r>
        <w:rPr>
          <w:rFonts w:ascii="Arial" w:hAnsi="Arial"/>
        </w:rPr>
        <w:t>.”</w:t>
      </w:r>
      <w:proofErr w:type="gramEnd"/>
      <w:r>
        <w:rPr>
          <w:rFonts w:ascii="Arial" w:hAnsi="Arial"/>
        </w:rPr>
        <w:t xml:space="preserve">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   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6/59 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зүйлийн</w:t>
      </w:r>
      <w:proofErr w:type="spellEnd"/>
      <w:r>
        <w:rPr>
          <w:rFonts w:ascii="Arial" w:hAnsi="Arial"/>
          <w:b/>
        </w:rPr>
        <w:t xml:space="preserve"> 59.6 </w:t>
      </w:r>
      <w:proofErr w:type="spellStart"/>
      <w:r>
        <w:rPr>
          <w:rFonts w:ascii="Arial" w:hAnsi="Arial"/>
          <w:b/>
        </w:rPr>
        <w:t>дахь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хэсэг</w:t>
      </w:r>
      <w:proofErr w:type="spellEnd"/>
      <w:r>
        <w:rPr>
          <w:rFonts w:ascii="Arial" w:hAnsi="Arial"/>
          <w:b/>
        </w:rPr>
        <w:t xml:space="preserve">: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 xml:space="preserve">“59.6.Орон </w:t>
      </w:r>
      <w:proofErr w:type="spellStart"/>
      <w:r>
        <w:rPr>
          <w:rFonts w:ascii="Arial" w:hAnsi="Arial"/>
        </w:rPr>
        <w:t>нутгийн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59.1.3-т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үүсвэрийг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хандивлагч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урамшуулал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дэмжлэг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тусгайлан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хуваарилах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итгэлцүүрээр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хуваарилах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тооцохгүй</w:t>
      </w:r>
      <w:proofErr w:type="spellEnd"/>
      <w:r>
        <w:rPr>
          <w:rFonts w:ascii="Arial" w:hAnsi="Arial"/>
        </w:rPr>
        <w:t>.”</w:t>
      </w:r>
      <w:proofErr w:type="gramEnd"/>
      <w:r>
        <w:rPr>
          <w:rFonts w:ascii="Arial" w:hAnsi="Arial"/>
        </w:rPr>
        <w:t xml:space="preserve">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7/71 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зүйлийн</w:t>
      </w:r>
      <w:proofErr w:type="spellEnd"/>
      <w:r>
        <w:rPr>
          <w:rFonts w:ascii="Arial" w:hAnsi="Arial"/>
          <w:b/>
        </w:rPr>
        <w:t xml:space="preserve"> 71.6 </w:t>
      </w:r>
      <w:proofErr w:type="spellStart"/>
      <w:r>
        <w:rPr>
          <w:rFonts w:ascii="Arial" w:hAnsi="Arial"/>
          <w:b/>
        </w:rPr>
        <w:t>дахь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хэсэг</w:t>
      </w:r>
      <w:proofErr w:type="spellEnd"/>
      <w:r>
        <w:rPr>
          <w:rFonts w:ascii="Arial" w:hAnsi="Arial"/>
          <w:b/>
        </w:rPr>
        <w:t xml:space="preserve">: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 xml:space="preserve">“71.6.Энэ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60.7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хэсгийг</w:t>
      </w:r>
      <w:proofErr w:type="spellEnd"/>
      <w:r>
        <w:rPr>
          <w:rFonts w:ascii="Arial" w:hAnsi="Arial"/>
        </w:rPr>
        <w:t xml:space="preserve"> 2020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01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01-ний </w:t>
      </w:r>
      <w:proofErr w:type="spellStart"/>
      <w:r>
        <w:rPr>
          <w:rFonts w:ascii="Arial" w:hAnsi="Arial"/>
        </w:rPr>
        <w:t>өдрөөс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мөрдөнө</w:t>
      </w:r>
      <w:proofErr w:type="spellEnd"/>
      <w:r>
        <w:rPr>
          <w:rFonts w:ascii="Arial" w:hAnsi="Arial"/>
        </w:rPr>
        <w:t>.”</w:t>
      </w:r>
      <w:proofErr w:type="gramEnd"/>
      <w:r>
        <w:rPr>
          <w:rFonts w:ascii="Arial" w:hAnsi="Arial"/>
        </w:rPr>
        <w:t xml:space="preserve">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2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зүйл.</w:t>
      </w:r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59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59.1.3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заалтын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тусламж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хандив</w:t>
      </w:r>
      <w:proofErr w:type="spellEnd"/>
      <w:r>
        <w:rPr>
          <w:rFonts w:ascii="Arial" w:hAnsi="Arial"/>
        </w:rPr>
        <w:t xml:space="preserve">”, 60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60.2.5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заалтын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хандив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тусламж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</w:t>
      </w:r>
      <w:proofErr w:type="spellEnd"/>
      <w:r>
        <w:rPr>
          <w:rFonts w:ascii="Arial" w:hAnsi="Arial"/>
        </w:rPr>
        <w:t xml:space="preserve"> “, </w:t>
      </w:r>
      <w:proofErr w:type="spellStart"/>
      <w:r>
        <w:rPr>
          <w:rFonts w:ascii="Arial" w:hAnsi="Arial"/>
        </w:rPr>
        <w:t>дээд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хамтран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хөтөлбөрөөс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урамшуулал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дэмжлэг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нэмсүгэй</w:t>
      </w:r>
      <w:proofErr w:type="spellEnd"/>
      <w:r>
        <w:rPr>
          <w:rFonts w:ascii="Arial" w:hAnsi="Arial"/>
        </w:rPr>
        <w:t xml:space="preserve">.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3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зүйл.</w:t>
      </w:r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11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11.1.21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дурдсанаар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өөрчлөн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найруулсугай</w:t>
      </w:r>
      <w:proofErr w:type="spellEnd"/>
      <w:r>
        <w:rPr>
          <w:rFonts w:ascii="Arial" w:hAnsi="Arial"/>
        </w:rPr>
        <w:t>: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  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“11.1.21.Монгол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газраас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тусгайлан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олгосноос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тусламж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асуудлаар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хэлэлцээ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хэлэлцээр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хэлэлцээрт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төлөөлж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үсэг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зурах</w:t>
      </w:r>
      <w:proofErr w:type="spellEnd"/>
      <w:r>
        <w:rPr>
          <w:rFonts w:ascii="Arial" w:hAnsi="Arial"/>
        </w:rPr>
        <w:t xml:space="preserve">;”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4 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зүйл.</w:t>
      </w:r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56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56.2.1, 56.2.2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заалтын</w:t>
      </w:r>
      <w:proofErr w:type="spellEnd"/>
      <w:r>
        <w:rPr>
          <w:rFonts w:ascii="Arial" w:hAnsi="Arial"/>
        </w:rPr>
        <w:t xml:space="preserve"> “70 </w:t>
      </w:r>
      <w:proofErr w:type="spellStart"/>
      <w:r>
        <w:rPr>
          <w:rFonts w:ascii="Arial" w:hAnsi="Arial"/>
        </w:rPr>
        <w:t>хувийг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гэснийг</w:t>
      </w:r>
      <w:proofErr w:type="spellEnd"/>
      <w:r>
        <w:rPr>
          <w:rFonts w:ascii="Arial" w:hAnsi="Arial"/>
        </w:rPr>
        <w:t xml:space="preserve"> “60 </w:t>
      </w:r>
      <w:proofErr w:type="spellStart"/>
      <w:r>
        <w:rPr>
          <w:rFonts w:ascii="Arial" w:hAnsi="Arial"/>
        </w:rPr>
        <w:t>хувийг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жилд</w:t>
      </w:r>
      <w:proofErr w:type="spellEnd"/>
      <w:r>
        <w:rPr>
          <w:rFonts w:ascii="Arial" w:hAnsi="Arial"/>
        </w:rPr>
        <w:t xml:space="preserve">, 40 </w:t>
      </w:r>
      <w:proofErr w:type="spellStart"/>
      <w:r>
        <w:rPr>
          <w:rFonts w:ascii="Arial" w:hAnsi="Arial"/>
        </w:rPr>
        <w:t>хувийг</w:t>
      </w:r>
      <w:proofErr w:type="spellEnd"/>
      <w:r>
        <w:rPr>
          <w:rFonts w:ascii="Arial" w:hAnsi="Arial"/>
        </w:rPr>
        <w:t xml:space="preserve"> 2018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жилд</w:t>
      </w:r>
      <w:proofErr w:type="spellEnd"/>
      <w:r>
        <w:rPr>
          <w:rFonts w:ascii="Arial" w:hAnsi="Arial"/>
        </w:rPr>
        <w:t xml:space="preserve">, 60 </w:t>
      </w:r>
      <w:proofErr w:type="spellStart"/>
      <w:r>
        <w:rPr>
          <w:rFonts w:ascii="Arial" w:hAnsi="Arial"/>
        </w:rPr>
        <w:t>хувийг</w:t>
      </w:r>
      <w:proofErr w:type="spellEnd"/>
      <w:r>
        <w:rPr>
          <w:rFonts w:ascii="Arial" w:hAnsi="Arial"/>
        </w:rPr>
        <w:t xml:space="preserve"> 2019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жилд</w:t>
      </w:r>
      <w:proofErr w:type="spellEnd"/>
      <w:r>
        <w:rPr>
          <w:rFonts w:ascii="Arial" w:hAnsi="Arial"/>
        </w:rPr>
        <w:t xml:space="preserve">, 70 </w:t>
      </w:r>
      <w:proofErr w:type="spellStart"/>
      <w:r>
        <w:rPr>
          <w:rFonts w:ascii="Arial" w:hAnsi="Arial"/>
        </w:rPr>
        <w:t>хувийг</w:t>
      </w:r>
      <w:proofErr w:type="spellEnd"/>
      <w:r>
        <w:rPr>
          <w:rFonts w:ascii="Arial" w:hAnsi="Arial"/>
        </w:rPr>
        <w:t xml:space="preserve"> 2020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эхлэн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өөрчилсүгэй</w:t>
      </w:r>
      <w:proofErr w:type="spellEnd"/>
      <w:r>
        <w:rPr>
          <w:rFonts w:ascii="Arial" w:hAnsi="Arial"/>
        </w:rPr>
        <w:t xml:space="preserve">.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> 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b/>
        </w:rPr>
        <w:tab/>
        <w:t xml:space="preserve">5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зүйл.</w:t>
      </w:r>
      <w:r>
        <w:rPr>
          <w:rFonts w:ascii="Arial" w:hAnsi="Arial"/>
          <w:color w:val="000000"/>
        </w:rPr>
        <w:t>Төсвийн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тухай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хуулийн</w:t>
      </w:r>
      <w:proofErr w:type="spellEnd"/>
      <w:r>
        <w:rPr>
          <w:rFonts w:ascii="Arial" w:hAnsi="Arial"/>
          <w:color w:val="000000"/>
        </w:rPr>
        <w:t xml:space="preserve"> 23 </w:t>
      </w:r>
      <w:proofErr w:type="spellStart"/>
      <w:r>
        <w:rPr>
          <w:rFonts w:ascii="Arial" w:hAnsi="Arial"/>
          <w:color w:val="000000"/>
        </w:rPr>
        <w:t>дугаар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зүйлийн</w:t>
      </w:r>
      <w:proofErr w:type="spellEnd"/>
      <w:r>
        <w:rPr>
          <w:rFonts w:ascii="Arial" w:hAnsi="Arial"/>
          <w:color w:val="000000"/>
        </w:rPr>
        <w:t xml:space="preserve"> 23.3 </w:t>
      </w:r>
      <w:proofErr w:type="spellStart"/>
      <w:r>
        <w:rPr>
          <w:rFonts w:ascii="Arial" w:hAnsi="Arial"/>
          <w:color w:val="000000"/>
        </w:rPr>
        <w:t>дахь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хэсгийн</w:t>
      </w:r>
      <w:proofErr w:type="spellEnd"/>
      <w:r>
        <w:rPr>
          <w:rFonts w:ascii="Arial" w:hAnsi="Arial"/>
          <w:color w:val="000000"/>
        </w:rPr>
        <w:t xml:space="preserve"> “</w:t>
      </w:r>
      <w:proofErr w:type="spellStart"/>
      <w:r>
        <w:rPr>
          <w:rFonts w:ascii="Arial" w:hAnsi="Arial"/>
          <w:color w:val="000000"/>
        </w:rPr>
        <w:t>хувьчилсан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худалдсан</w:t>
      </w:r>
      <w:proofErr w:type="spellEnd"/>
      <w:r>
        <w:rPr>
          <w:rFonts w:ascii="Arial" w:hAnsi="Arial"/>
          <w:color w:val="000000"/>
        </w:rPr>
        <w:t xml:space="preserve">,” </w:t>
      </w:r>
      <w:proofErr w:type="spellStart"/>
      <w:r>
        <w:rPr>
          <w:rFonts w:ascii="Arial" w:hAnsi="Arial"/>
          <w:color w:val="000000"/>
        </w:rPr>
        <w:t>гэснийг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хассугай</w:t>
      </w:r>
      <w:proofErr w:type="spellEnd"/>
      <w:r>
        <w:rPr>
          <w:rFonts w:ascii="Arial" w:hAnsi="Arial"/>
          <w:color w:val="000000"/>
        </w:rPr>
        <w:t>.</w:t>
      </w:r>
      <w:r>
        <w:rPr>
          <w:rFonts w:ascii="Arial" w:hAnsi="Arial"/>
        </w:rPr>
        <w:t xml:space="preserve"> </w:t>
      </w: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602FAD" w:rsidRDefault="00602FAD" w:rsidP="00602FAD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602FAD" w:rsidRDefault="00602FAD" w:rsidP="00602FAD">
      <w:pPr>
        <w:jc w:val="both"/>
        <w:rPr>
          <w:rFonts w:ascii="Arial" w:hAnsi="Arial"/>
          <w:color w:val="000000"/>
          <w:lang w:val="mn-MN"/>
        </w:rPr>
      </w:pPr>
    </w:p>
    <w:p w:rsidR="00602FAD" w:rsidRDefault="00602FAD" w:rsidP="00602FAD">
      <w:pPr>
        <w:jc w:val="both"/>
        <w:rPr>
          <w:rFonts w:ascii="Arial" w:hAnsi="Arial"/>
          <w:color w:val="000000"/>
          <w:lang w:val="mn-MN"/>
        </w:rPr>
      </w:pPr>
    </w:p>
    <w:p w:rsidR="00602FAD" w:rsidRDefault="00602FAD" w:rsidP="00602FAD">
      <w:pPr>
        <w:ind w:left="720" w:firstLine="72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 xml:space="preserve">МОНГОЛ УЛСЫН </w:t>
      </w:r>
    </w:p>
    <w:p w:rsidR="00790B8E" w:rsidRPr="00A13DF0" w:rsidRDefault="00602FAD" w:rsidP="00602FAD">
      <w:pPr>
        <w:pStyle w:val="BodyText"/>
        <w:spacing w:after="0"/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/>
          <w:color w:val="000000"/>
          <w:lang w:val="mn-MN"/>
        </w:rPr>
        <w:t>ИХ ХУРЛЫН ДАРГА</w:t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ED" w:rsidRDefault="001F00ED">
      <w:r>
        <w:separator/>
      </w:r>
    </w:p>
  </w:endnote>
  <w:endnote w:type="continuationSeparator" w:id="0">
    <w:p w:rsidR="001F00ED" w:rsidRDefault="001F0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A7345D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ED" w:rsidRDefault="001F00ED">
      <w:r>
        <w:separator/>
      </w:r>
    </w:p>
  </w:footnote>
  <w:footnote w:type="continuationSeparator" w:id="0">
    <w:p w:rsidR="001F00ED" w:rsidRDefault="001F0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00ED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16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A4DC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345D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dcterms:created xsi:type="dcterms:W3CDTF">2017-04-26T20:14:00Z</dcterms:created>
  <dcterms:modified xsi:type="dcterms:W3CDTF">2017-04-26T20:17:00Z</dcterms:modified>
</cp:coreProperties>
</file>