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6F20FF05"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7615A1">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7615A1">
        <w:rPr>
          <w:rFonts w:ascii="Arial" w:hAnsi="Arial" w:cs="Arial"/>
          <w:color w:val="3366FF"/>
          <w:sz w:val="20"/>
          <w:szCs w:val="20"/>
          <w:u w:val="single"/>
          <w:lang w:val="ms-MY"/>
        </w:rPr>
        <w:t>01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7615A1">
        <w:rPr>
          <w:rFonts w:ascii="Arial" w:hAnsi="Arial" w:cs="Arial"/>
          <w:color w:val="3366FF"/>
          <w:sz w:val="20"/>
          <w:szCs w:val="20"/>
          <w:u w:val="single"/>
        </w:rPr>
        <w:t>15</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4B9E91AB" w:rsidR="00C551F5" w:rsidRDefault="00C551F5" w:rsidP="006E2872">
      <w:pPr>
        <w:jc w:val="center"/>
        <w:rPr>
          <w:rFonts w:ascii="Arial" w:hAnsi="Arial" w:cs="Arial"/>
          <w:b/>
          <w:bCs/>
          <w:lang w:val="mn-MN"/>
        </w:rPr>
      </w:pPr>
    </w:p>
    <w:p w14:paraId="1D4739EB" w14:textId="77777777" w:rsidR="008F77F4" w:rsidRDefault="008F77F4" w:rsidP="006E2872">
      <w:pPr>
        <w:jc w:val="center"/>
        <w:rPr>
          <w:rFonts w:ascii="Arial" w:hAnsi="Arial" w:cs="Arial"/>
          <w:b/>
          <w:bCs/>
          <w:lang w:val="mn-MN"/>
        </w:rPr>
      </w:pPr>
    </w:p>
    <w:p w14:paraId="5934428B" w14:textId="72218251"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4FD41DA2" w14:textId="77777777" w:rsidR="00663CDE" w:rsidRPr="0009692D" w:rsidRDefault="00663CDE" w:rsidP="00663CDE">
      <w:pPr>
        <w:ind w:left="284" w:right="49"/>
        <w:jc w:val="center"/>
        <w:rPr>
          <w:rFonts w:ascii="Arial" w:hAnsi="Arial" w:cs="Arial"/>
          <w:b/>
          <w:lang w:val="mn-MN"/>
        </w:rPr>
      </w:pPr>
      <w:r w:rsidRPr="0009692D">
        <w:rPr>
          <w:rFonts w:ascii="Arial" w:hAnsi="Arial" w:cs="Arial"/>
          <w:b/>
          <w:lang w:val="mn-MN"/>
        </w:rPr>
        <w:t>ТӨРИЙН АЛБАНЫ ТУХАЙ ХУУЛЬД</w:t>
      </w:r>
    </w:p>
    <w:p w14:paraId="1781BE4C" w14:textId="77777777" w:rsidR="00663CDE" w:rsidRPr="0009692D" w:rsidRDefault="00663CDE" w:rsidP="00663CDE">
      <w:pPr>
        <w:ind w:left="284" w:right="49"/>
        <w:jc w:val="center"/>
        <w:rPr>
          <w:rFonts w:ascii="Arial" w:hAnsi="Arial" w:cs="Arial"/>
          <w:b/>
          <w:lang w:val="mn-MN"/>
        </w:rPr>
      </w:pPr>
      <w:r w:rsidRPr="0009692D">
        <w:rPr>
          <w:rFonts w:ascii="Arial" w:hAnsi="Arial" w:cs="Arial"/>
          <w:b/>
          <w:lang w:val="mn-MN"/>
        </w:rPr>
        <w:t>НЭМЭЛТ, ӨӨРЧЛӨЛТ ОРУУЛАХ ТУХАЙ</w:t>
      </w:r>
    </w:p>
    <w:p w14:paraId="676E3968" w14:textId="77777777" w:rsidR="00663CDE" w:rsidRPr="0009692D" w:rsidRDefault="00663CDE" w:rsidP="00663CDE">
      <w:pPr>
        <w:spacing w:line="360" w:lineRule="auto"/>
        <w:ind w:right="49"/>
        <w:rPr>
          <w:rFonts w:ascii="Arial" w:hAnsi="Arial" w:cs="Arial"/>
          <w:b/>
          <w:lang w:val="mn-MN"/>
        </w:rPr>
      </w:pPr>
    </w:p>
    <w:p w14:paraId="0A9D35C8" w14:textId="77777777" w:rsidR="00663CDE" w:rsidRPr="0009692D" w:rsidRDefault="00663CDE" w:rsidP="00663CDE">
      <w:pPr>
        <w:ind w:right="49" w:firstLine="720"/>
        <w:jc w:val="both"/>
        <w:rPr>
          <w:rFonts w:ascii="Arial" w:hAnsi="Arial" w:cs="Arial"/>
          <w:b/>
          <w:lang w:val="mn-MN"/>
        </w:rPr>
      </w:pPr>
      <w:r w:rsidRPr="0009692D">
        <w:rPr>
          <w:rFonts w:ascii="Arial" w:hAnsi="Arial" w:cs="Arial"/>
          <w:b/>
          <w:lang w:val="mn-MN"/>
        </w:rPr>
        <w:t>1 дүгээр зүйл.</w:t>
      </w:r>
      <w:r w:rsidRPr="0009692D">
        <w:rPr>
          <w:rFonts w:ascii="Arial" w:hAnsi="Arial" w:cs="Arial"/>
          <w:lang w:val="mn-MN"/>
        </w:rPr>
        <w:t>Төрийн албаны тухай хуулийн</w:t>
      </w:r>
      <w:r w:rsidRPr="0009692D">
        <w:rPr>
          <w:rFonts w:ascii="Arial" w:hAnsi="Arial" w:cs="Arial"/>
          <w:b/>
          <w:lang w:val="mn-MN"/>
        </w:rPr>
        <w:t xml:space="preserve"> </w:t>
      </w:r>
      <w:r w:rsidRPr="0009692D">
        <w:rPr>
          <w:rFonts w:ascii="Arial" w:hAnsi="Arial" w:cs="Arial"/>
          <w:lang w:val="mn-MN"/>
        </w:rPr>
        <w:t xml:space="preserve">13 дугаар зүйлийн 13.1.3 дахь заалтын “Эрүү шүүлтээс урьдчилан сэргийлэх асуудал эрхэлсэн гишүүн,” гэсний дараа “Шүүхийн ерөнхий зөвлөл болон Шүүхийн сахилгын хорооны дарга, гишүүн,” гэж нэмсүгэй. </w:t>
      </w:r>
    </w:p>
    <w:p w14:paraId="4C24FBD1" w14:textId="77777777" w:rsidR="00663CDE" w:rsidRPr="0009692D" w:rsidRDefault="00663CDE" w:rsidP="00663CDE">
      <w:pPr>
        <w:ind w:right="49" w:firstLine="720"/>
        <w:jc w:val="both"/>
        <w:rPr>
          <w:rFonts w:ascii="Arial" w:hAnsi="Arial" w:cs="Arial"/>
          <w:b/>
          <w:lang w:val="mn-MN"/>
        </w:rPr>
      </w:pPr>
    </w:p>
    <w:p w14:paraId="41DD69AD" w14:textId="77777777" w:rsidR="00663CDE" w:rsidRPr="0009692D" w:rsidRDefault="00663CDE" w:rsidP="00663CDE">
      <w:pPr>
        <w:ind w:right="49" w:firstLine="720"/>
        <w:jc w:val="both"/>
        <w:rPr>
          <w:rFonts w:ascii="Arial" w:hAnsi="Arial" w:cs="Arial"/>
          <w:lang w:val="mn-MN"/>
        </w:rPr>
      </w:pPr>
      <w:r w:rsidRPr="0009692D">
        <w:rPr>
          <w:rFonts w:ascii="Arial" w:hAnsi="Arial" w:cs="Arial"/>
          <w:b/>
          <w:lang w:val="mn-MN"/>
        </w:rPr>
        <w:t>2 дугаар зүйл.</w:t>
      </w:r>
      <w:r w:rsidRPr="0009692D">
        <w:rPr>
          <w:rFonts w:ascii="Arial" w:hAnsi="Arial" w:cs="Arial"/>
          <w:lang w:val="mn-MN"/>
        </w:rPr>
        <w:t xml:space="preserve">Төрийн албаны тухай хуулийн 12 дугаар зүйлийн 12.1.2 дахь заалтын “шүүхийн захиргаа” гэснийг “Шүүхийн ерөнхий зөвлөлийн болон Шүүхийн сахилгын хорооны ажлын алба, бүх шатны шүүхийн Тамгын газар, шүүхийн захиргааны бусад байгууллага” гэж, 18 дугаар зүйлийн 18.7 дахь хэсгийн “Шүүхийн ерөнхий зөвлөлийн” гэснийг “Шүүхийн ерөнхий зөвлөл болон Шүүхийн сахилгын хорооны” гэж тус тус өөрчилсүгэй. </w:t>
      </w:r>
    </w:p>
    <w:p w14:paraId="662BE923" w14:textId="77777777" w:rsidR="00663CDE" w:rsidRPr="0009692D" w:rsidRDefault="00663CDE" w:rsidP="00663CDE">
      <w:pPr>
        <w:ind w:right="49" w:firstLine="720"/>
        <w:jc w:val="both"/>
        <w:rPr>
          <w:rFonts w:ascii="Arial" w:hAnsi="Arial" w:cs="Arial"/>
          <w:lang w:val="mn-MN"/>
        </w:rPr>
      </w:pPr>
    </w:p>
    <w:p w14:paraId="3D9BD502" w14:textId="77777777" w:rsidR="00663CDE" w:rsidRPr="0009692D" w:rsidRDefault="00663CDE" w:rsidP="00663CDE">
      <w:pPr>
        <w:ind w:right="49"/>
        <w:jc w:val="both"/>
        <w:rPr>
          <w:rFonts w:ascii="Arial" w:hAnsi="Arial" w:cs="Arial"/>
          <w:lang w:val="mn-MN"/>
        </w:rPr>
      </w:pPr>
      <w:r w:rsidRPr="0009692D">
        <w:rPr>
          <w:rFonts w:ascii="Arial" w:hAnsi="Arial" w:cs="Arial"/>
          <w:b/>
          <w:lang w:val="mn-MN"/>
        </w:rPr>
        <w:t xml:space="preserve">           3 дугаар зүйл.</w:t>
      </w:r>
      <w:r w:rsidRPr="0009692D">
        <w:rPr>
          <w:rFonts w:ascii="Arial" w:hAnsi="Arial" w:cs="Arial"/>
          <w:lang w:val="mn-MN"/>
        </w:rPr>
        <w:t>Энэ хуулийг</w:t>
      </w:r>
      <w:r w:rsidRPr="0009692D">
        <w:rPr>
          <w:rFonts w:ascii="Arial" w:hAnsi="Arial" w:cs="Arial"/>
          <w:b/>
          <w:i/>
          <w:lang w:val="mn-MN"/>
        </w:rPr>
        <w:t xml:space="preserve"> </w:t>
      </w:r>
      <w:r w:rsidRPr="0009692D">
        <w:rPr>
          <w:rFonts w:ascii="Arial" w:hAnsi="Arial" w:cs="Arial"/>
          <w:lang w:val="mn-MN"/>
        </w:rPr>
        <w:t>Монгол Улсын шүүхийн тухай хууль /Шинэчилсэн найруулга/ хүчин төгөлдөр болсон өдрөөс эхлэн дагаж мөрдөнө.</w:t>
      </w:r>
    </w:p>
    <w:p w14:paraId="1E4779C8" w14:textId="77777777" w:rsidR="00663CDE" w:rsidRPr="0009692D" w:rsidRDefault="00663CDE" w:rsidP="00663CDE">
      <w:pPr>
        <w:ind w:right="49"/>
        <w:jc w:val="center"/>
        <w:rPr>
          <w:rFonts w:ascii="Arial" w:hAnsi="Arial" w:cs="Arial"/>
          <w:lang w:val="mn-MN"/>
        </w:rPr>
      </w:pPr>
    </w:p>
    <w:p w14:paraId="3717AF25" w14:textId="77777777" w:rsidR="00663CDE" w:rsidRPr="0009692D" w:rsidRDefault="00663CDE" w:rsidP="00663CDE">
      <w:pPr>
        <w:ind w:right="49"/>
        <w:rPr>
          <w:rFonts w:ascii="Arial" w:hAnsi="Arial" w:cs="Arial"/>
          <w:lang w:val="mn-MN"/>
        </w:rPr>
      </w:pPr>
      <w:r w:rsidRPr="0009692D">
        <w:rPr>
          <w:rFonts w:ascii="Arial" w:hAnsi="Arial" w:cs="Arial"/>
          <w:lang w:val="mn-MN"/>
        </w:rPr>
        <w:tab/>
      </w:r>
    </w:p>
    <w:p w14:paraId="22A6EED7" w14:textId="77777777" w:rsidR="00663CDE" w:rsidRPr="0009692D" w:rsidRDefault="00663CDE" w:rsidP="00663CDE">
      <w:pPr>
        <w:ind w:right="49"/>
        <w:rPr>
          <w:rFonts w:ascii="Arial" w:hAnsi="Arial" w:cs="Arial"/>
          <w:lang w:val="mn-MN"/>
        </w:rPr>
      </w:pPr>
    </w:p>
    <w:p w14:paraId="7925841F" w14:textId="77777777" w:rsidR="00663CDE" w:rsidRPr="0009692D" w:rsidRDefault="00663CDE" w:rsidP="00663CDE">
      <w:pPr>
        <w:ind w:right="49"/>
        <w:rPr>
          <w:rFonts w:ascii="Arial" w:hAnsi="Arial" w:cs="Arial"/>
          <w:lang w:val="mn-MN"/>
        </w:rPr>
      </w:pPr>
    </w:p>
    <w:p w14:paraId="2F4A872F" w14:textId="77777777" w:rsidR="00663CDE" w:rsidRPr="0009692D" w:rsidRDefault="00663CDE" w:rsidP="00663CDE">
      <w:pPr>
        <w:ind w:right="49"/>
        <w:rPr>
          <w:rFonts w:ascii="Arial" w:hAnsi="Arial" w:cs="Arial"/>
          <w:lang w:val="mn-MN"/>
        </w:rPr>
      </w:pPr>
      <w:r w:rsidRPr="0009692D">
        <w:rPr>
          <w:rFonts w:ascii="Arial" w:hAnsi="Arial" w:cs="Arial"/>
          <w:lang w:val="mn-MN"/>
        </w:rPr>
        <w:t xml:space="preserve"> </w:t>
      </w:r>
      <w:r w:rsidRPr="0009692D">
        <w:rPr>
          <w:rFonts w:ascii="Arial" w:hAnsi="Arial" w:cs="Arial"/>
          <w:lang w:val="mn-MN"/>
        </w:rPr>
        <w:tab/>
      </w:r>
      <w:r w:rsidRPr="0009692D">
        <w:rPr>
          <w:rFonts w:ascii="Arial" w:hAnsi="Arial" w:cs="Arial"/>
          <w:lang w:val="mn-MN"/>
        </w:rPr>
        <w:tab/>
        <w:t xml:space="preserve">МОНГОЛ УЛСЫН </w:t>
      </w:r>
    </w:p>
    <w:p w14:paraId="0A91450E" w14:textId="792A7E5E" w:rsidR="008F77F4" w:rsidRPr="0009692D" w:rsidRDefault="00663CDE" w:rsidP="00663CDE">
      <w:pPr>
        <w:ind w:right="49"/>
        <w:rPr>
          <w:rFonts w:ascii="Arial" w:hAnsi="Arial" w:cs="Arial"/>
          <w:lang w:val="mn-MN"/>
        </w:rPr>
      </w:pPr>
      <w:r w:rsidRPr="0009692D">
        <w:rPr>
          <w:rFonts w:ascii="Arial" w:hAnsi="Arial" w:cs="Arial"/>
          <w:lang w:val="mn-MN"/>
        </w:rPr>
        <w:tab/>
      </w:r>
      <w:r w:rsidRPr="0009692D">
        <w:rPr>
          <w:rFonts w:ascii="Arial" w:hAnsi="Arial" w:cs="Arial"/>
          <w:lang w:val="mn-MN"/>
        </w:rPr>
        <w:tab/>
        <w:t>ИХ ХУРЛЫН ДАРГА</w:t>
      </w:r>
      <w:r w:rsidRPr="0009692D">
        <w:rPr>
          <w:rFonts w:ascii="Arial" w:hAnsi="Arial" w:cs="Arial"/>
          <w:lang w:val="mn-MN"/>
        </w:rPr>
        <w:tab/>
      </w:r>
      <w:r w:rsidRPr="0009692D">
        <w:rPr>
          <w:rFonts w:ascii="Arial" w:hAnsi="Arial" w:cs="Arial"/>
          <w:lang w:val="mn-MN"/>
        </w:rPr>
        <w:tab/>
      </w:r>
      <w:r w:rsidRPr="0009692D">
        <w:rPr>
          <w:rFonts w:ascii="Arial" w:hAnsi="Arial" w:cs="Arial"/>
          <w:lang w:val="mn-MN"/>
        </w:rPr>
        <w:tab/>
        <w:t xml:space="preserve">        Г.ЗАНДАНШАТАР</w:t>
      </w:r>
    </w:p>
    <w:sectPr w:rsidR="008F77F4" w:rsidRPr="0009692D"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9A694" w14:textId="77777777" w:rsidR="00F318C9" w:rsidRDefault="00F318C9">
      <w:r>
        <w:separator/>
      </w:r>
    </w:p>
  </w:endnote>
  <w:endnote w:type="continuationSeparator" w:id="0">
    <w:p w14:paraId="6DF7D31D" w14:textId="77777777" w:rsidR="00F318C9" w:rsidRDefault="00F31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D3E30" w14:textId="77777777" w:rsidR="00F318C9" w:rsidRDefault="00F318C9">
      <w:r>
        <w:separator/>
      </w:r>
    </w:p>
  </w:footnote>
  <w:footnote w:type="continuationSeparator" w:id="0">
    <w:p w14:paraId="7418D1B5" w14:textId="77777777" w:rsidR="00F318C9" w:rsidRDefault="00F31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9692D"/>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C424C"/>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C76A8"/>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3CDE"/>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615A1"/>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8F77F4"/>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505A6"/>
    <w:rsid w:val="00D73180"/>
    <w:rsid w:val="00D737E2"/>
    <w:rsid w:val="00D81D9C"/>
    <w:rsid w:val="00D82CFE"/>
    <w:rsid w:val="00DB0A1C"/>
    <w:rsid w:val="00DC604B"/>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00D50"/>
    <w:rsid w:val="00F11167"/>
    <w:rsid w:val="00F13220"/>
    <w:rsid w:val="00F30701"/>
    <w:rsid w:val="00F30B31"/>
    <w:rsid w:val="00F318C9"/>
    <w:rsid w:val="00F32A09"/>
    <w:rsid w:val="00F33353"/>
    <w:rsid w:val="00F3464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paragraph" w:customStyle="1" w:styleId="Default">
    <w:name w:val="Default"/>
    <w:rsid w:val="008F77F4"/>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3</cp:revision>
  <dcterms:created xsi:type="dcterms:W3CDTF">2021-01-26T05:39:00Z</dcterms:created>
  <dcterms:modified xsi:type="dcterms:W3CDTF">2021-01-26T05:46:00Z</dcterms:modified>
</cp:coreProperties>
</file>