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89DFAF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w:t>
      </w:r>
      <w:r w:rsidR="00F15EBA">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28179AE2" w14:textId="77777777" w:rsidR="00A3571B" w:rsidRPr="00A3571B" w:rsidRDefault="00A3571B" w:rsidP="006E2872">
      <w:pPr>
        <w:jc w:val="cente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1A162F00" w14:textId="77777777" w:rsidR="00F15EBA" w:rsidRPr="00110D7F" w:rsidRDefault="00F15EBA" w:rsidP="00F15EBA">
      <w:pPr>
        <w:jc w:val="center"/>
        <w:rPr>
          <w:rFonts w:ascii="Arial" w:hAnsi="Arial" w:cs="Arial"/>
          <w:b/>
          <w:bCs/>
          <w:sz w:val="23"/>
          <w:szCs w:val="23"/>
        </w:rPr>
      </w:pPr>
      <w:r w:rsidRPr="00110D7F">
        <w:rPr>
          <w:rFonts w:ascii="Arial" w:hAnsi="Arial" w:cs="Arial"/>
          <w:b/>
          <w:bCs/>
          <w:sz w:val="23"/>
          <w:szCs w:val="23"/>
        </w:rPr>
        <w:t xml:space="preserve">   ТӨСВИЙН ТУХАЙ ХУУЛЬД НЭМЭЛТ,</w:t>
      </w:r>
    </w:p>
    <w:p w14:paraId="6015D709" w14:textId="77777777" w:rsidR="00F15EBA" w:rsidRPr="00110D7F" w:rsidRDefault="00F15EBA" w:rsidP="00F15EBA">
      <w:pPr>
        <w:jc w:val="center"/>
        <w:rPr>
          <w:rFonts w:ascii="Arial" w:hAnsi="Arial" w:cs="Arial"/>
          <w:b/>
          <w:bCs/>
          <w:sz w:val="23"/>
          <w:szCs w:val="23"/>
        </w:rPr>
      </w:pPr>
      <w:r w:rsidRPr="00110D7F">
        <w:rPr>
          <w:rFonts w:ascii="Arial" w:hAnsi="Arial" w:cs="Arial"/>
          <w:b/>
          <w:bCs/>
          <w:sz w:val="23"/>
          <w:szCs w:val="23"/>
        </w:rPr>
        <w:t xml:space="preserve">   ӨӨРЧЛӨЛТ ОРУУЛАХ ТУХАЙ</w:t>
      </w:r>
    </w:p>
    <w:p w14:paraId="40E74B69" w14:textId="77777777" w:rsidR="00F15EBA" w:rsidRPr="00110D7F" w:rsidRDefault="00F15EBA" w:rsidP="00F15EBA">
      <w:pPr>
        <w:spacing w:line="360" w:lineRule="auto"/>
        <w:jc w:val="both"/>
        <w:rPr>
          <w:rFonts w:ascii="Arial" w:hAnsi="Arial" w:cs="Arial"/>
          <w:b/>
          <w:bCs/>
          <w:sz w:val="23"/>
          <w:szCs w:val="23"/>
        </w:rPr>
      </w:pPr>
    </w:p>
    <w:p w14:paraId="0444DE81" w14:textId="77777777" w:rsidR="00F15EBA" w:rsidRPr="00110D7F" w:rsidRDefault="00F15EBA" w:rsidP="00F15EBA">
      <w:pPr>
        <w:ind w:firstLine="720"/>
        <w:jc w:val="both"/>
        <w:rPr>
          <w:rFonts w:ascii="Arial" w:hAnsi="Arial" w:cs="Arial"/>
          <w:sz w:val="23"/>
          <w:szCs w:val="23"/>
        </w:rPr>
      </w:pPr>
      <w:r w:rsidRPr="00110D7F">
        <w:rPr>
          <w:rFonts w:ascii="Arial" w:hAnsi="Arial" w:cs="Arial"/>
          <w:b/>
          <w:bCs/>
          <w:sz w:val="23"/>
          <w:szCs w:val="23"/>
        </w:rPr>
        <w:t>1 дүгээр зүйл.</w:t>
      </w:r>
      <w:r w:rsidRPr="00110D7F">
        <w:rPr>
          <w:rFonts w:ascii="Arial" w:hAnsi="Arial" w:cs="Arial"/>
          <w:sz w:val="23"/>
          <w:szCs w:val="23"/>
        </w:rPr>
        <w:t>Төсвийн тухай хуулийн 28 дугаар зүйлийн 28.10 дахь хэсгийн “гэрээ,” гэсний дараа “төр, хувийн хэвшлийн түншлэл,” гэж нэмсүгэй.</w:t>
      </w:r>
    </w:p>
    <w:p w14:paraId="6118A8CB" w14:textId="77777777" w:rsidR="00F15EBA" w:rsidRPr="00110D7F" w:rsidRDefault="00F15EBA" w:rsidP="00F15EBA">
      <w:pPr>
        <w:ind w:firstLine="720"/>
        <w:jc w:val="both"/>
        <w:rPr>
          <w:rFonts w:ascii="Arial" w:hAnsi="Arial" w:cs="Arial"/>
          <w:sz w:val="23"/>
          <w:szCs w:val="23"/>
        </w:rPr>
      </w:pPr>
    </w:p>
    <w:p w14:paraId="0A105ADA" w14:textId="77777777" w:rsidR="00F15EBA" w:rsidRPr="00110D7F" w:rsidRDefault="00F15EBA" w:rsidP="00F15EBA">
      <w:pPr>
        <w:ind w:firstLine="720"/>
        <w:jc w:val="both"/>
        <w:rPr>
          <w:rFonts w:ascii="Arial" w:hAnsi="Arial" w:cs="Arial"/>
          <w:sz w:val="23"/>
          <w:szCs w:val="23"/>
        </w:rPr>
      </w:pPr>
      <w:r w:rsidRPr="00110D7F">
        <w:rPr>
          <w:rFonts w:ascii="Arial" w:hAnsi="Arial" w:cs="Arial"/>
          <w:b/>
          <w:bCs/>
          <w:sz w:val="23"/>
          <w:szCs w:val="23"/>
        </w:rPr>
        <w:t>2 дугаар зүйл.</w:t>
      </w:r>
      <w:r w:rsidRPr="00110D7F">
        <w:rPr>
          <w:rFonts w:ascii="Arial" w:hAnsi="Arial" w:cs="Arial"/>
          <w:sz w:val="23"/>
          <w:szCs w:val="23"/>
        </w:rPr>
        <w:t>Төсвийн тухай хуулийн 28 дугаар зүйлийн 28.11 дэх хэсгийг доор дурдсанаар өөрчлөн найруулсугай:</w:t>
      </w:r>
    </w:p>
    <w:p w14:paraId="307A0E46" w14:textId="77777777" w:rsidR="00F15EBA" w:rsidRPr="00110D7F" w:rsidRDefault="00F15EBA" w:rsidP="00F15EBA">
      <w:pPr>
        <w:ind w:firstLine="720"/>
        <w:jc w:val="both"/>
        <w:rPr>
          <w:rFonts w:ascii="Arial" w:hAnsi="Arial" w:cs="Arial"/>
          <w:sz w:val="23"/>
          <w:szCs w:val="23"/>
        </w:rPr>
      </w:pPr>
    </w:p>
    <w:p w14:paraId="55826C4B" w14:textId="77777777" w:rsidR="00F15EBA" w:rsidRPr="00110D7F" w:rsidRDefault="00F15EBA" w:rsidP="00F15EBA">
      <w:pPr>
        <w:ind w:firstLine="720"/>
        <w:jc w:val="both"/>
        <w:rPr>
          <w:rFonts w:ascii="Arial" w:hAnsi="Arial" w:cs="Arial"/>
          <w:sz w:val="23"/>
          <w:szCs w:val="23"/>
        </w:rPr>
      </w:pPr>
      <w:r w:rsidRPr="00110D7F">
        <w:rPr>
          <w:rFonts w:ascii="Arial" w:hAnsi="Arial" w:cs="Arial"/>
          <w:sz w:val="23"/>
          <w:szCs w:val="23"/>
        </w:rPr>
        <w:t>“28.11.Улсын төсвийн хөрөнгө оруулалтаар хэрэгжүүлэх төслийн эдийн засгийн үр ашиг, нийгмийн ач холбогдлыг тооцох аргачлалыг санхүү, төсвийн асуудал эрхэлсэн Засгийн газрын гишүүн батална.”</w:t>
      </w:r>
    </w:p>
    <w:p w14:paraId="0781636C" w14:textId="77777777" w:rsidR="00F15EBA" w:rsidRPr="00110D7F" w:rsidRDefault="00F15EBA" w:rsidP="00F15EBA">
      <w:pPr>
        <w:ind w:firstLine="720"/>
        <w:jc w:val="both"/>
        <w:rPr>
          <w:rFonts w:ascii="Arial" w:hAnsi="Arial" w:cs="Arial"/>
          <w:sz w:val="23"/>
          <w:szCs w:val="23"/>
        </w:rPr>
      </w:pPr>
    </w:p>
    <w:p w14:paraId="09CFE87A" w14:textId="77777777" w:rsidR="00F15EBA" w:rsidRPr="00110D7F" w:rsidRDefault="00F15EBA" w:rsidP="00F15EBA">
      <w:pPr>
        <w:ind w:firstLine="720"/>
        <w:jc w:val="both"/>
        <w:rPr>
          <w:rFonts w:ascii="Arial" w:hAnsi="Arial" w:cs="Arial"/>
          <w:sz w:val="23"/>
          <w:szCs w:val="23"/>
        </w:rPr>
      </w:pPr>
      <w:r w:rsidRPr="00110D7F">
        <w:rPr>
          <w:rFonts w:ascii="Arial" w:hAnsi="Arial" w:cs="Arial"/>
          <w:b/>
          <w:bCs/>
          <w:sz w:val="23"/>
          <w:szCs w:val="23"/>
        </w:rPr>
        <w:t>3 дугаар зүйл.</w:t>
      </w:r>
      <w:r w:rsidRPr="00110D7F">
        <w:rPr>
          <w:rFonts w:ascii="Arial" w:hAnsi="Arial" w:cs="Arial"/>
          <w:sz w:val="23"/>
          <w:szCs w:val="23"/>
        </w:rPr>
        <w:t>Төсвийн тухай хуулийн 9 дүгээр зүйлийн 9.1.2 дахь заалт, 10 дугаар зүйлийн 10.1.3 дахь заалтын “улсын эдийн засаг, нийгмийг хөгжүүлэх үндсэн чиглэл” гэснийг “улсын хөгжлийн жилийн төлөвлөгөө” гэж, мөн зүйлийн 10.3 дахь хэсгийн “улсын эдийн засаг, нийгмийг хөгжүүлэх үндсэн чиглэлийн” гэснийг “улсын хөгжлийн жилийн төлөвлөгөөний” гэж, 29 дүгээр зүйлийн 29.6 дахь хэсгийн “энэ хуулийн 28.6-д заасны дагуу” гэснийг “хууль тогтоомжид нийцүүлэн” гэж тус тус өөрчилсүгэй.</w:t>
      </w:r>
    </w:p>
    <w:p w14:paraId="08163351" w14:textId="77777777" w:rsidR="00F15EBA" w:rsidRPr="00110D7F" w:rsidRDefault="00F15EBA" w:rsidP="00F15EBA">
      <w:pPr>
        <w:ind w:firstLine="720"/>
        <w:jc w:val="both"/>
        <w:rPr>
          <w:rFonts w:ascii="Arial" w:hAnsi="Arial" w:cs="Arial"/>
          <w:sz w:val="23"/>
          <w:szCs w:val="23"/>
        </w:rPr>
      </w:pPr>
    </w:p>
    <w:p w14:paraId="56BB573B" w14:textId="77777777" w:rsidR="00F15EBA" w:rsidRPr="00110D7F" w:rsidRDefault="00F15EBA" w:rsidP="00F15EBA">
      <w:pPr>
        <w:ind w:firstLine="720"/>
        <w:jc w:val="both"/>
        <w:rPr>
          <w:rFonts w:ascii="Arial" w:hAnsi="Arial" w:cs="Arial"/>
          <w:sz w:val="23"/>
          <w:szCs w:val="23"/>
        </w:rPr>
      </w:pPr>
      <w:r w:rsidRPr="00110D7F">
        <w:rPr>
          <w:rFonts w:ascii="Arial" w:hAnsi="Arial" w:cs="Arial"/>
          <w:b/>
          <w:bCs/>
          <w:sz w:val="23"/>
          <w:szCs w:val="23"/>
        </w:rPr>
        <w:t>4 дүгээр зүйл.</w:t>
      </w:r>
      <w:r w:rsidRPr="00110D7F">
        <w:rPr>
          <w:rFonts w:ascii="Arial" w:hAnsi="Arial" w:cs="Arial"/>
          <w:sz w:val="23"/>
          <w:szCs w:val="23"/>
        </w:rPr>
        <w:t>Төсвийн тухай хуулийн 27 дугаар зүйлийн 27.4.3 дахь заалтын “улсын эдийн засаг, нийгмийг хөгжүүлэх үндсэн чиглэл болон” гэснийг, 28 дугаар зүйлийн 28.1 дэх хэсгийн “урт хугацаанд” гэснийг, 29 дүгээр зүйлийн 29.1 дэх хэсгийн “Түүнчлэн энэ хуулийн 28.1-д зааснаас бусад, нийт төсөвт өртөг нь 30.0 тэрбум төгрөгөөс бага өртөгтэй хөрөнгө оруулалтын төслийн саналыг төсвийн ерөнхийлөн захирагч төсвийн удирдамжид заасны дагуу тус тус бэлтгэж үндэсний хөгжлийн асуудал эрхэлсэн төрийн захиргааны байгууллагад энэ хуулийн 8.4.3-т заасан хугацаанд ирүүлнэ.” гэсэн 2 дахь өгүүлбэрийг, 71 дүгээр зүйлийн 71.2 дахь хэсгийн “улсын эдийн засаг, нийгмийг хөгжүүлэх үндсэн чиглэл,” гэснийг  тус тус хассугай.</w:t>
      </w:r>
    </w:p>
    <w:p w14:paraId="6C0E6419" w14:textId="77777777" w:rsidR="00F15EBA" w:rsidRPr="00110D7F" w:rsidRDefault="00F15EBA" w:rsidP="00F15EBA">
      <w:pPr>
        <w:ind w:firstLine="720"/>
        <w:jc w:val="both"/>
        <w:rPr>
          <w:rFonts w:ascii="Arial" w:hAnsi="Arial" w:cs="Arial"/>
          <w:b/>
          <w:bCs/>
          <w:sz w:val="23"/>
          <w:szCs w:val="23"/>
        </w:rPr>
      </w:pPr>
    </w:p>
    <w:p w14:paraId="7F2301F9" w14:textId="77777777" w:rsidR="00F15EBA" w:rsidRPr="00110D7F" w:rsidRDefault="00F15EBA" w:rsidP="00F15EBA">
      <w:pPr>
        <w:ind w:firstLine="720"/>
        <w:jc w:val="both"/>
        <w:rPr>
          <w:rFonts w:ascii="Arial" w:hAnsi="Arial" w:cs="Arial"/>
          <w:sz w:val="23"/>
          <w:szCs w:val="23"/>
        </w:rPr>
      </w:pPr>
      <w:r w:rsidRPr="00110D7F">
        <w:rPr>
          <w:rFonts w:ascii="Arial" w:hAnsi="Arial" w:cs="Arial"/>
          <w:b/>
          <w:bCs/>
          <w:sz w:val="23"/>
          <w:szCs w:val="23"/>
        </w:rPr>
        <w:t>5 дугаар зүйл.</w:t>
      </w:r>
      <w:r w:rsidRPr="00110D7F">
        <w:rPr>
          <w:rFonts w:ascii="Arial" w:hAnsi="Arial" w:cs="Arial"/>
          <w:sz w:val="23"/>
          <w:szCs w:val="23"/>
        </w:rPr>
        <w:t>Төсвийн тухай хуулийн 10 дугаар зүйлийн 10.1.5 дахь заалт, 12 дугаар зүйлийн 12.2.1, 12.2.2 дахь заалт, 12</w:t>
      </w:r>
      <w:r w:rsidRPr="00110D7F">
        <w:rPr>
          <w:rFonts w:ascii="Arial" w:hAnsi="Arial" w:cs="Arial"/>
          <w:sz w:val="23"/>
          <w:szCs w:val="23"/>
          <w:vertAlign w:val="superscript"/>
        </w:rPr>
        <w:t>1</w:t>
      </w:r>
      <w:r w:rsidRPr="00110D7F">
        <w:rPr>
          <w:rFonts w:ascii="Arial" w:hAnsi="Arial" w:cs="Arial"/>
          <w:sz w:val="23"/>
          <w:szCs w:val="23"/>
        </w:rPr>
        <w:t xml:space="preserve"> дүгээр зүйл, 28 дугаар зүйлийн 28.3.6, 28.3.7 дахь заалт, 28.8, 28.9 дэх хэсгийг тус тус хүчингүй болсонд тооцсугай.</w:t>
      </w:r>
    </w:p>
    <w:p w14:paraId="7D0FA710" w14:textId="77777777" w:rsidR="00F15EBA" w:rsidRPr="00110D7F" w:rsidRDefault="00F15EBA" w:rsidP="00F15EBA">
      <w:pPr>
        <w:ind w:firstLine="720"/>
        <w:jc w:val="both"/>
        <w:rPr>
          <w:rFonts w:ascii="Arial" w:hAnsi="Arial" w:cs="Arial"/>
          <w:sz w:val="23"/>
          <w:szCs w:val="23"/>
        </w:rPr>
      </w:pPr>
    </w:p>
    <w:p w14:paraId="5C890985" w14:textId="77777777" w:rsidR="00F15EBA" w:rsidRPr="00110D7F" w:rsidRDefault="00F15EBA" w:rsidP="00F15EBA">
      <w:pPr>
        <w:ind w:firstLine="720"/>
        <w:jc w:val="both"/>
        <w:rPr>
          <w:rFonts w:ascii="Arial" w:eastAsia="Arial" w:hAnsi="Arial" w:cs="Arial"/>
          <w:b/>
          <w:color w:val="000000"/>
          <w:sz w:val="23"/>
          <w:szCs w:val="23"/>
        </w:rPr>
      </w:pPr>
      <w:r w:rsidRPr="00110D7F">
        <w:rPr>
          <w:rFonts w:ascii="Arial" w:hAnsi="Arial" w:cs="Arial"/>
          <w:b/>
          <w:bCs/>
          <w:sz w:val="23"/>
          <w:szCs w:val="23"/>
        </w:rPr>
        <w:t>6 дугаар зүйл.</w:t>
      </w:r>
      <w:r w:rsidRPr="00110D7F">
        <w:rPr>
          <w:rFonts w:ascii="Arial" w:eastAsia="Arial" w:hAnsi="Arial" w:cs="Arial"/>
          <w:color w:val="000000"/>
          <w:sz w:val="23"/>
          <w:szCs w:val="23"/>
        </w:rPr>
        <w:t xml:space="preserve">Энэ хуулийг </w:t>
      </w:r>
      <w:r w:rsidRPr="00110D7F">
        <w:rPr>
          <w:rFonts w:ascii="Arial" w:hAnsi="Arial" w:cs="Arial"/>
          <w:bCs/>
          <w:noProof/>
          <w:color w:val="000000" w:themeColor="text1"/>
          <w:sz w:val="23"/>
          <w:szCs w:val="23"/>
        </w:rPr>
        <w:t>Хөгжлийн бодлого, төлөвлөлт, түүний удирдлагын тухай хуульд нэмэлт, өөрчлөлт оруулах тухай хууль</w:t>
      </w:r>
      <w:r w:rsidRPr="00110D7F">
        <w:rPr>
          <w:rFonts w:ascii="Arial" w:hAnsi="Arial" w:cs="Arial"/>
          <w:bCs/>
          <w:color w:val="000000"/>
          <w:sz w:val="23"/>
          <w:szCs w:val="23"/>
        </w:rPr>
        <w:t xml:space="preserve"> </w:t>
      </w:r>
      <w:r w:rsidRPr="00110D7F">
        <w:rPr>
          <w:rFonts w:ascii="Arial" w:hAnsi="Arial" w:cs="Arial"/>
          <w:bCs/>
          <w:noProof/>
          <w:color w:val="000000" w:themeColor="text1"/>
          <w:sz w:val="23"/>
          <w:szCs w:val="23"/>
        </w:rPr>
        <w:t>хүчин төгөлдөр болсон өдрөөс эхлэн дагаж мөрдөнө</w:t>
      </w:r>
      <w:r w:rsidRPr="00110D7F">
        <w:rPr>
          <w:rFonts w:ascii="Arial" w:eastAsia="Arial" w:hAnsi="Arial" w:cs="Arial"/>
          <w:bCs/>
          <w:color w:val="000000"/>
          <w:sz w:val="23"/>
          <w:szCs w:val="23"/>
        </w:rPr>
        <w:t>.</w:t>
      </w:r>
      <w:r w:rsidRPr="00110D7F">
        <w:rPr>
          <w:rFonts w:ascii="Arial" w:eastAsia="Arial" w:hAnsi="Arial" w:cs="Arial"/>
          <w:b/>
          <w:color w:val="000000"/>
          <w:sz w:val="23"/>
          <w:szCs w:val="23"/>
        </w:rPr>
        <w:t xml:space="preserve"> </w:t>
      </w:r>
    </w:p>
    <w:p w14:paraId="103F2523" w14:textId="77777777" w:rsidR="00F15EBA" w:rsidRPr="00110D7F" w:rsidRDefault="00F15EBA" w:rsidP="00F15EBA">
      <w:pPr>
        <w:ind w:firstLine="720"/>
        <w:jc w:val="both"/>
        <w:rPr>
          <w:rFonts w:ascii="Arial" w:eastAsia="Arial" w:hAnsi="Arial" w:cs="Arial"/>
          <w:b/>
          <w:color w:val="000000"/>
          <w:sz w:val="23"/>
          <w:szCs w:val="23"/>
        </w:rPr>
      </w:pPr>
    </w:p>
    <w:p w14:paraId="61805FD1" w14:textId="77777777" w:rsidR="00F15EBA" w:rsidRPr="00110D7F" w:rsidRDefault="00F15EBA" w:rsidP="00F15EBA">
      <w:pPr>
        <w:ind w:firstLine="720"/>
        <w:jc w:val="both"/>
        <w:rPr>
          <w:rFonts w:ascii="Arial" w:eastAsia="Arial" w:hAnsi="Arial" w:cs="Arial"/>
          <w:b/>
          <w:color w:val="000000"/>
          <w:sz w:val="23"/>
          <w:szCs w:val="23"/>
        </w:rPr>
      </w:pPr>
    </w:p>
    <w:p w14:paraId="14E8C64C" w14:textId="77777777" w:rsidR="00F15EBA" w:rsidRPr="00110D7F" w:rsidRDefault="00F15EBA" w:rsidP="00F15EBA">
      <w:pPr>
        <w:ind w:firstLine="720"/>
        <w:jc w:val="both"/>
        <w:rPr>
          <w:rFonts w:ascii="Arial" w:eastAsia="Arial" w:hAnsi="Arial" w:cs="Arial"/>
          <w:b/>
          <w:color w:val="000000"/>
          <w:sz w:val="23"/>
          <w:szCs w:val="23"/>
        </w:rPr>
      </w:pPr>
    </w:p>
    <w:p w14:paraId="410BFE44" w14:textId="77777777" w:rsidR="00F15EBA" w:rsidRPr="00110D7F" w:rsidRDefault="00F15EBA" w:rsidP="00F15EBA">
      <w:pPr>
        <w:ind w:left="720" w:firstLine="720"/>
        <w:jc w:val="both"/>
        <w:rPr>
          <w:rFonts w:ascii="Arial" w:eastAsia="Arial" w:hAnsi="Arial" w:cs="Arial"/>
          <w:color w:val="000000"/>
          <w:sz w:val="23"/>
          <w:szCs w:val="23"/>
        </w:rPr>
      </w:pPr>
      <w:r w:rsidRPr="00110D7F">
        <w:rPr>
          <w:rFonts w:ascii="Arial" w:eastAsia="Arial" w:hAnsi="Arial" w:cs="Arial"/>
          <w:color w:val="000000"/>
          <w:sz w:val="23"/>
          <w:szCs w:val="23"/>
        </w:rPr>
        <w:t xml:space="preserve">МОНГОЛ УЛСЫН </w:t>
      </w:r>
    </w:p>
    <w:p w14:paraId="409EF808" w14:textId="1D366C91" w:rsidR="00AC34DB" w:rsidRPr="00F15EBA" w:rsidRDefault="00F15EBA" w:rsidP="00F15EBA">
      <w:pPr>
        <w:ind w:left="720" w:firstLine="720"/>
        <w:jc w:val="both"/>
        <w:rPr>
          <w:rFonts w:ascii="Arial" w:eastAsia="Arial" w:hAnsi="Arial" w:cs="Arial"/>
          <w:color w:val="000000"/>
          <w:sz w:val="23"/>
          <w:szCs w:val="23"/>
        </w:rPr>
      </w:pPr>
      <w:r w:rsidRPr="00110D7F">
        <w:rPr>
          <w:rFonts w:ascii="Arial" w:eastAsia="Arial" w:hAnsi="Arial" w:cs="Arial"/>
          <w:color w:val="000000"/>
          <w:sz w:val="23"/>
          <w:szCs w:val="23"/>
        </w:rPr>
        <w:t xml:space="preserve">ИХ ХУРЛЫН ДАРГА </w:t>
      </w:r>
      <w:r w:rsidRPr="00110D7F">
        <w:rPr>
          <w:rFonts w:ascii="Arial" w:eastAsia="Arial" w:hAnsi="Arial" w:cs="Arial"/>
          <w:color w:val="000000"/>
          <w:sz w:val="23"/>
          <w:szCs w:val="23"/>
        </w:rPr>
        <w:tab/>
      </w:r>
      <w:r w:rsidRPr="00110D7F">
        <w:rPr>
          <w:rFonts w:ascii="Arial" w:eastAsia="Arial" w:hAnsi="Arial" w:cs="Arial"/>
          <w:color w:val="000000"/>
          <w:sz w:val="23"/>
          <w:szCs w:val="23"/>
        </w:rPr>
        <w:tab/>
      </w:r>
      <w:r w:rsidRPr="00110D7F">
        <w:rPr>
          <w:rFonts w:ascii="Arial" w:eastAsia="Arial" w:hAnsi="Arial" w:cs="Arial"/>
          <w:color w:val="000000"/>
          <w:sz w:val="23"/>
          <w:szCs w:val="23"/>
        </w:rPr>
        <w:tab/>
      </w:r>
      <w:r w:rsidRPr="00110D7F">
        <w:rPr>
          <w:rFonts w:ascii="Arial" w:eastAsia="Arial" w:hAnsi="Arial" w:cs="Arial"/>
          <w:color w:val="000000"/>
          <w:sz w:val="23"/>
          <w:szCs w:val="23"/>
        </w:rPr>
        <w:tab/>
        <w:t xml:space="preserve">Г.ЗАНДАНШАТАР </w:t>
      </w:r>
    </w:p>
    <w:sectPr w:rsidR="00AC34DB" w:rsidRPr="00F15EB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15F7"/>
    <w:rsid w:val="00F13220"/>
    <w:rsid w:val="00F15EBA"/>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2022-01-21T02:27:00Z</dcterms:created>
  <dcterms:modified xsi:type="dcterms:W3CDTF">2022-01-21T02:27:00Z</dcterms:modified>
</cp:coreProperties>
</file>