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center"/>
      </w:pPr>
      <w:r>
        <w:rPr/>
        <w:tab/>
      </w:r>
      <w:r>
        <w:rPr>
          <w:b/>
          <w:bCs/>
          <w:lang w:val="mn-MN"/>
        </w:rPr>
        <w:t>АЮУЛГҮЙ БАЙДАЛ, ГАДААД БОДЛОГЫН БАЙНГЫН</w:t>
      </w:r>
    </w:p>
    <w:p>
      <w:pPr>
        <w:pStyle w:val="style0"/>
        <w:spacing w:line="100" w:lineRule="atLeast"/>
        <w:jc w:val="center"/>
      </w:pPr>
      <w:r>
        <w:rPr>
          <w:b/>
          <w:bCs/>
          <w:lang w:val="mn-MN"/>
        </w:rPr>
        <w:tab/>
        <w:t>ХОРООНЫ 2014 ОНЫ ХАВРЫН ЧУУЛГАНЫ ХУГАЦААНД</w:t>
      </w:r>
    </w:p>
    <w:p>
      <w:pPr>
        <w:pStyle w:val="style0"/>
        <w:spacing w:line="100" w:lineRule="atLeast"/>
        <w:jc w:val="center"/>
      </w:pPr>
      <w:r>
        <w:rPr>
          <w:b/>
          <w:bCs/>
          <w:lang w:val="mn-MN"/>
        </w:rPr>
        <w:t xml:space="preserve"> </w:t>
      </w:r>
      <w:r>
        <w:rPr>
          <w:b/>
          <w:bCs/>
          <w:lang w:val="mn-MN"/>
        </w:rPr>
        <w:t>ХИЙЖ ГҮЙЦЭТГЭСЭН АЖЛЫН ТАЙЛАН</w:t>
      </w:r>
    </w:p>
    <w:p>
      <w:pPr>
        <w:pStyle w:val="style0"/>
        <w:spacing w:line="100" w:lineRule="atLeast"/>
        <w:jc w:val="center"/>
      </w:pPr>
      <w:r>
        <w:rPr>
          <w:b/>
          <w:bCs/>
        </w:rPr>
      </w:r>
    </w:p>
    <w:p>
      <w:pPr>
        <w:pStyle w:val="style0"/>
        <w:spacing w:line="100" w:lineRule="atLeast"/>
        <w:jc w:val="center"/>
      </w:pPr>
      <w:r>
        <w:rPr>
          <w:b/>
          <w:bCs/>
        </w:rPr>
        <w:tab/>
        <w:tab/>
        <w:tab/>
        <w:tab/>
        <w:tab/>
        <w:tab/>
        <w:tab/>
        <w:tab/>
        <w:tab/>
        <w:tab/>
        <w:tab/>
      </w:r>
      <w:r>
        <w:rPr>
          <w:b w:val="false"/>
          <w:bCs w:val="false"/>
        </w:rPr>
        <w:t>2014.07.08.</w:t>
      </w:r>
    </w:p>
    <w:p>
      <w:pPr>
        <w:pStyle w:val="style0"/>
        <w:spacing w:line="100" w:lineRule="atLeast"/>
        <w:jc w:val="center"/>
      </w:pPr>
      <w:r>
        <w:rPr>
          <w:b/>
          <w:bCs/>
        </w:rPr>
      </w:r>
    </w:p>
    <w:p>
      <w:pPr>
        <w:pStyle w:val="style0"/>
        <w:spacing w:line="100" w:lineRule="atLeast"/>
        <w:jc w:val="both"/>
      </w:pPr>
      <w:r>
        <w:rPr/>
        <w:tab/>
        <w:t xml:space="preserve">Аюулгүй байдал, гадаад бодлогын байнгын хороо 2014 оны хаврын ээлжит чуулганы хугацаанд 7 хууль, 5 зөвшилцөх асуудал өргөн баригдаж, Байнгын хорооны болон чуулганы нэгдсэн хуралдаанаар 4 хууль, 2 Улсын Их Хурлын тогтоол батлагдаж,  5 олон улсын гэрээ, конвенцийг зөвшилцөөд, Байнгын хорооны санал, дүгнэлтийг хуралдааны тэмдэглэлийн хамт Засгийн газарт хүргүүлсэн байна. Байнгын хороонд хэлэлцүүлгийн шатанд 2  хуулийн төсөл байна. </w:t>
      </w:r>
    </w:p>
    <w:p>
      <w:pPr>
        <w:pStyle w:val="style0"/>
        <w:spacing w:line="100" w:lineRule="atLeast"/>
        <w:jc w:val="both"/>
      </w:pPr>
      <w:r>
        <w:rPr/>
      </w:r>
    </w:p>
    <w:p>
      <w:pPr>
        <w:pStyle w:val="style0"/>
        <w:spacing w:line="100" w:lineRule="atLeast"/>
        <w:jc w:val="both"/>
      </w:pPr>
      <w:r>
        <w:rPr>
          <w:lang w:val="mn-MN"/>
        </w:rPr>
        <w:tab/>
        <w:t xml:space="preserve">Байнгын хороо хаврын чуулганы хугацаанд </w:t>
      </w:r>
      <w:r>
        <w:rPr>
          <w:lang w:val="mn-MN"/>
        </w:rPr>
        <w:t xml:space="preserve">12 </w:t>
      </w:r>
      <w:r>
        <w:rPr>
          <w:lang w:val="mn-MN"/>
        </w:rPr>
        <w:t>удаа хуралдаж, 20</w:t>
      </w:r>
      <w:r>
        <w:rPr>
          <w:lang w:val="mn-MN"/>
        </w:rPr>
        <w:t xml:space="preserve"> </w:t>
      </w:r>
      <w:r>
        <w:rPr>
          <w:lang w:val="mn-MN"/>
        </w:rPr>
        <w:t>асуудал хэлэлцэж, үүнээс  4 хуулийн төсөл, 2 Улсын Их Хурлын тогтоолын төсөл, 5 зөвшилцсөн гэрээ, конвеци, 1 хяналт шалгалтын тайлан, 4 мэдээлэл, илтгэл хэлэлцсэн байна. Байнгын хорооны хуралд</w:t>
      </w:r>
      <w:r>
        <w:rPr>
          <w:lang w:val="mn-MN"/>
        </w:rPr>
        <w:t>аанаас нийт 13 санал, дүгнэлт, 3 зарчмын зөрүүтэй саналын томьёолол гаргаж, нийт 20 у</w:t>
      </w:r>
      <w:r>
        <w:rPr>
          <w:lang w:val="mn-MN"/>
        </w:rPr>
        <w:t xml:space="preserve">даагийн санал хураалт явуулж Улсын Их Хурлын чуулган хуралдаанаар хэлэлцүүлсэн. Байнгын хорооны хуралдаанаар  “Алтанбулаг”, “Цагааннуур”-ын худалдааны, “Замын-Үүд” эдийн засгийн чөлөөт бүсүүдийн </w:t>
      </w:r>
      <w:r>
        <w:rPr>
          <w:lang w:val="mn-MN"/>
        </w:rPr>
        <w:t>өнөөгийн байдал, цаашдын үйл ажиллагааны талаар</w:t>
      </w:r>
      <w:r>
        <w:rPr>
          <w:lang w:val="mn-MN"/>
        </w:rPr>
        <w:t xml:space="preserve"> мэдээлэл сонсож, Байнгын хорооны хуралдааны тэмдэглэлээр Засгийн газарт үүрэг өгсөн. </w:t>
      </w:r>
    </w:p>
    <w:p>
      <w:pPr>
        <w:pStyle w:val="style0"/>
        <w:spacing w:line="100" w:lineRule="atLeast"/>
        <w:jc w:val="both"/>
      </w:pPr>
      <w:r>
        <w:rPr/>
      </w:r>
    </w:p>
    <w:p>
      <w:pPr>
        <w:pStyle w:val="style0"/>
        <w:spacing w:line="100" w:lineRule="atLeast"/>
        <w:jc w:val="both"/>
      </w:pPr>
      <w:r>
        <w:rPr>
          <w:lang w:val="mn-MN"/>
        </w:rPr>
        <w:tab/>
        <w:t>Б</w:t>
      </w:r>
      <w:r>
        <w:rPr>
          <w:lang w:val="mn-MN"/>
        </w:rPr>
        <w:t xml:space="preserve">айнгын хорооны тогтоолоор байгуулагдсан 4 ажлын хэсэг нийт 10 удаа, 14.37 цаг хуралдаж, </w:t>
      </w:r>
      <w:r>
        <w:rPr>
          <w:lang w:val="mn-MN"/>
        </w:rPr>
        <w:t xml:space="preserve">ажлын хэсгийн </w:t>
      </w:r>
      <w:r>
        <w:rPr>
          <w:lang w:val="mn-MN"/>
        </w:rPr>
        <w:t>8</w:t>
      </w:r>
      <w:r>
        <w:rPr>
          <w:lang w:val="mn-MN"/>
        </w:rPr>
        <w:t xml:space="preserve"> хуралдааны тойм боловсруулан дотоод сүлжээнд оруулсан. Батлагдсан хууль, УИХ-ын тогтоол талаарх 6 танилцуулгыг бичгээр болон слайдаар боловсруулж, эмхэтгэлд оруулахад бэлэн болгосон. </w:t>
      </w:r>
    </w:p>
    <w:p>
      <w:pPr>
        <w:pStyle w:val="style0"/>
        <w:spacing w:line="100" w:lineRule="atLeast"/>
        <w:jc w:val="both"/>
      </w:pPr>
      <w:r>
        <w:rPr/>
      </w:r>
    </w:p>
    <w:p>
      <w:pPr>
        <w:pStyle w:val="style0"/>
        <w:spacing w:line="100" w:lineRule="atLeast"/>
        <w:jc w:val="both"/>
      </w:pPr>
      <w:r>
        <w:rPr>
          <w:lang w:val="mn-MN"/>
        </w:rPr>
        <w:tab/>
      </w:r>
      <w:r>
        <w:rPr>
          <w:lang w:val="mn-MN"/>
        </w:rPr>
        <w:t xml:space="preserve">Тусгай хяналтын дэд хороо 2 удаа хуралдаж, 2 асуудлыг хэлэлцэж, 4.00 цаг хуралдсан. </w:t>
      </w:r>
    </w:p>
    <w:p>
      <w:pPr>
        <w:pStyle w:val="style0"/>
        <w:spacing w:line="100" w:lineRule="atLeast"/>
        <w:jc w:val="both"/>
      </w:pPr>
      <w:r>
        <w:rPr>
          <w:lang w:val="mn-MN"/>
        </w:rPr>
        <w:tab/>
      </w:r>
    </w:p>
    <w:p>
      <w:pPr>
        <w:pStyle w:val="style0"/>
        <w:spacing w:line="100" w:lineRule="atLeast"/>
        <w:jc w:val="both"/>
      </w:pPr>
      <w:r>
        <w:rPr>
          <w:lang w:val="mn-MN"/>
        </w:rPr>
        <w:tab/>
      </w:r>
      <w:r>
        <w:rPr>
          <w:b/>
          <w:bCs/>
          <w:i/>
          <w:iCs/>
          <w:lang w:val="mn-MN"/>
        </w:rPr>
        <w:t>1. Хууль, тогтоолын төслийн хэлэлцүүлгийн талаар</w:t>
      </w:r>
    </w:p>
    <w:p>
      <w:pPr>
        <w:pStyle w:val="style0"/>
        <w:spacing w:line="100" w:lineRule="atLeast"/>
        <w:jc w:val="both"/>
      </w:pPr>
      <w:r>
        <w:rPr/>
      </w:r>
    </w:p>
    <w:p>
      <w:pPr>
        <w:pStyle w:val="style0"/>
        <w:spacing w:line="100" w:lineRule="atLeast"/>
        <w:jc w:val="both"/>
      </w:pPr>
      <w:r>
        <w:rPr>
          <w:lang w:val="mn-MN"/>
        </w:rPr>
        <w:tab/>
        <w:t xml:space="preserve">Улсын Их Хурлаар баталсан хууль: </w:t>
      </w:r>
    </w:p>
    <w:p>
      <w:pPr>
        <w:pStyle w:val="style23"/>
        <w:spacing w:line="100" w:lineRule="atLeast"/>
        <w:jc w:val="both"/>
      </w:pPr>
      <w:r>
        <w:rPr/>
      </w:r>
    </w:p>
    <w:p>
      <w:pPr>
        <w:pStyle w:val="style23"/>
        <w:spacing w:line="100" w:lineRule="atLeast"/>
        <w:jc w:val="both"/>
      </w:pPr>
      <w:r>
        <w:rPr>
          <w:lang w:val="mn-MN"/>
        </w:rPr>
        <w:tab/>
        <w:t xml:space="preserve">1. </w:t>
      </w:r>
      <w:r>
        <w:rPr>
          <w:lang w:val="mn-MN"/>
        </w:rPr>
        <w:t>Тамхин бүтээгдэхүүний хууль бус худалдааг устгах тухай протоколыг соёрхон батлах тухай хууль</w:t>
      </w:r>
    </w:p>
    <w:p>
      <w:pPr>
        <w:pStyle w:val="style19"/>
        <w:spacing w:line="100" w:lineRule="atLeast"/>
        <w:jc w:val="both"/>
      </w:pPr>
      <w:r>
        <w:rPr/>
      </w:r>
    </w:p>
    <w:p>
      <w:pPr>
        <w:pStyle w:val="style23"/>
        <w:spacing w:line="100" w:lineRule="atLeast"/>
        <w:jc w:val="both"/>
      </w:pPr>
      <w:r>
        <w:rPr>
          <w:lang w:val="mn-MN"/>
        </w:rPr>
        <w:tab/>
        <w:t>2. Монгол Улсын Засгийн газар, Азийн Хөгжлийн Банк хооронд байгуулсан “Гэр хорооллыг хөгжүүлэх, хөрөнгө оруулалтыг дэмжих хөтөлбөр”-ийн санхүүжилтийн ерөнхий хэлэлцээрийг соёрхон батлах тухай хууль</w:t>
      </w:r>
    </w:p>
    <w:p>
      <w:pPr>
        <w:pStyle w:val="style23"/>
        <w:spacing w:line="100" w:lineRule="atLeast"/>
        <w:jc w:val="both"/>
      </w:pPr>
      <w:r>
        <w:rPr/>
      </w:r>
    </w:p>
    <w:p>
      <w:pPr>
        <w:pStyle w:val="style23"/>
        <w:spacing w:line="100" w:lineRule="atLeast"/>
        <w:jc w:val="both"/>
      </w:pPr>
      <w:r>
        <w:rPr>
          <w:lang w:val="mn-MN"/>
        </w:rPr>
        <w:tab/>
        <w:t>3. Монгол Улсын Засгийн газар, Японы Олон улсын хамтын ажиллагааны байгууллага хооронд байгуулсан “Инженер, технологийн дээд боловсрол төсөл”-ийн зээлийн хэлэлцээрийг соёрхон батлах тухай хууль</w:t>
      </w:r>
    </w:p>
    <w:p>
      <w:pPr>
        <w:pStyle w:val="style23"/>
        <w:spacing w:line="100" w:lineRule="atLeast"/>
        <w:jc w:val="both"/>
      </w:pPr>
      <w:r>
        <w:rPr/>
      </w:r>
    </w:p>
    <w:p>
      <w:pPr>
        <w:pStyle w:val="style23"/>
        <w:spacing w:line="100" w:lineRule="atLeast"/>
        <w:jc w:val="both"/>
      </w:pPr>
      <w:r>
        <w:rPr>
          <w:lang w:bidi="he-IL" w:val="mn-MN"/>
        </w:rPr>
        <w:t xml:space="preserve">         </w:t>
      </w:r>
      <w:r>
        <w:rPr>
          <w:lang w:bidi="he-IL" w:val="mn-MN"/>
        </w:rPr>
        <w:t>4.  Монгол Улсын Засгийн газар, Азийн хөгжлийн банк хооронд байгуулсан “Хүнс, тэжээл, нийгмийн халамжийн төсөл: Нэмэлт санхүүжилт”-ийн зээлийн хэлэлцээрийг соёрхон батлах тухай хууль</w:t>
      </w:r>
    </w:p>
    <w:p>
      <w:pPr>
        <w:pStyle w:val="style0"/>
        <w:spacing w:line="100" w:lineRule="atLeast"/>
        <w:jc w:val="both"/>
      </w:pPr>
      <w:r>
        <w:rPr/>
      </w:r>
    </w:p>
    <w:p>
      <w:pPr>
        <w:pStyle w:val="style0"/>
        <w:spacing w:line="100" w:lineRule="atLeast"/>
        <w:jc w:val="both"/>
      </w:pPr>
      <w:r>
        <w:rPr>
          <w:lang w:val="mn-MN"/>
        </w:rPr>
        <w:tab/>
        <w:t>Улсын Их Хурлаар баталсан Улсын Их Хурлын тогтоол:</w:t>
      </w:r>
    </w:p>
    <w:p>
      <w:pPr>
        <w:pStyle w:val="style0"/>
        <w:spacing w:line="100" w:lineRule="atLeast"/>
        <w:jc w:val="both"/>
      </w:pPr>
      <w:r>
        <w:rPr/>
      </w:r>
    </w:p>
    <w:p>
      <w:pPr>
        <w:pStyle w:val="style0"/>
        <w:shd w:fill="FFFFFF" w:val="clear"/>
        <w:spacing w:line="100" w:lineRule="atLeast"/>
        <w:jc w:val="both"/>
      </w:pPr>
      <w:r>
        <w:rPr>
          <w:lang w:val="mn-MN"/>
        </w:rPr>
        <w:tab/>
        <w:t>1.Монгол Улсын Засгийн газар, Азийн хөгжлийн банк хооронд байгуулсан</w:t>
      </w:r>
      <w:hyperlink r:id="rId2">
        <w:r>
          <w:rPr>
            <w:rStyle w:val="style15"/>
            <w:rStyle w:val="style15"/>
            <w:lang w:val="mn-MN"/>
          </w:rPr>
          <w:t xml:space="preserve"> </w:t>
        </w:r>
        <w:r>
          <w:rPr>
            <w:rStyle w:val="style15"/>
            <w:rStyle w:val="style15"/>
            <w:u w:val="none"/>
            <w:lang w:val="mn-MN"/>
          </w:rPr>
          <w:t>“Төлбөрийн системийн шинэчлэл төсөл”-ийн зээлийн хэлэлцээрийг соёрхон батлах тухай</w:t>
        </w:r>
      </w:hyperlink>
      <w:r>
        <w:rPr>
          <w:lang w:val="mn-MN"/>
        </w:rPr>
        <w:t xml:space="preserve"> хуулийн төслийг буцаах тухай Улсын Их Хурлын тогтоол</w:t>
      </w:r>
    </w:p>
    <w:p>
      <w:pPr>
        <w:pStyle w:val="style0"/>
        <w:spacing w:line="100" w:lineRule="atLeast"/>
        <w:jc w:val="both"/>
      </w:pPr>
      <w:r>
        <w:rPr/>
      </w:r>
    </w:p>
    <w:p>
      <w:pPr>
        <w:pStyle w:val="style0"/>
        <w:spacing w:line="100" w:lineRule="atLeast"/>
        <w:jc w:val="both"/>
      </w:pPr>
      <w:r>
        <w:rPr>
          <w:lang w:val="mn-MN"/>
        </w:rPr>
        <w:tab/>
        <w:t>2.Тусгай хяналтын дэд хорооны бүрэлдэхүүнд өөрчлөлт оруулах тухай Улсын Их Хурлын тогтоол</w:t>
      </w:r>
    </w:p>
    <w:p>
      <w:pPr>
        <w:pStyle w:val="style0"/>
        <w:spacing w:line="100" w:lineRule="atLeast"/>
        <w:jc w:val="both"/>
      </w:pPr>
      <w:r>
        <w:rPr/>
      </w:r>
    </w:p>
    <w:p>
      <w:pPr>
        <w:pStyle w:val="style0"/>
        <w:spacing w:line="100" w:lineRule="atLeast"/>
        <w:jc w:val="both"/>
      </w:pPr>
      <w:r>
        <w:rPr>
          <w:lang w:val="mn-MN"/>
        </w:rPr>
        <w:tab/>
      </w:r>
      <w:r>
        <w:rPr>
          <w:b w:val="false"/>
          <w:bCs w:val="false"/>
          <w:i w:val="false"/>
          <w:iCs w:val="false"/>
          <w:lang w:val="mn-MN"/>
        </w:rPr>
        <w:t>Зөвшилцсөн гэрээ, конвенци:</w:t>
      </w:r>
      <w:r>
        <w:rPr>
          <w:b/>
          <w:bCs/>
          <w:i/>
          <w:iCs/>
          <w:lang w:val="mn-MN"/>
        </w:rPr>
        <w:t xml:space="preserve"> </w:t>
      </w:r>
    </w:p>
    <w:p>
      <w:pPr>
        <w:pStyle w:val="style0"/>
        <w:spacing w:line="100" w:lineRule="atLeast"/>
        <w:jc w:val="both"/>
      </w:pPr>
      <w:r>
        <w:rPr/>
      </w:r>
    </w:p>
    <w:p>
      <w:pPr>
        <w:pStyle w:val="style23"/>
        <w:spacing w:line="100" w:lineRule="atLeast"/>
        <w:jc w:val="both"/>
      </w:pPr>
      <w:r>
        <w:rPr>
          <w:lang w:val="mn-MN"/>
        </w:rPr>
        <w:tab/>
        <w:t>1. Монгол Улс “Антрактидийн тухай гэрээ”-нд нэгдэн орох тухай зөвшилцөх</w:t>
      </w:r>
    </w:p>
    <w:p>
      <w:pPr>
        <w:pStyle w:val="style23"/>
        <w:spacing w:line="100" w:lineRule="atLeast"/>
        <w:jc w:val="both"/>
      </w:pPr>
      <w:r>
        <w:rPr/>
      </w:r>
    </w:p>
    <w:p>
      <w:pPr>
        <w:pStyle w:val="style23"/>
        <w:spacing w:line="100" w:lineRule="atLeast"/>
        <w:jc w:val="both"/>
      </w:pPr>
      <w:r>
        <w:rPr>
          <w:lang w:val="mn-MN"/>
        </w:rPr>
        <w:tab/>
        <w:t>2. Монгол Улсаас Бүгд Найрамдах Индонези, Холбооны Бүгд Найрамдах Бразил улсад суух Онц бөгөөд Бүрэн эрхт элчин сайд нарыг томилох тухай зөвшилцөх</w:t>
      </w:r>
    </w:p>
    <w:p>
      <w:pPr>
        <w:pStyle w:val="style0"/>
        <w:spacing w:line="100" w:lineRule="atLeast"/>
        <w:jc w:val="both"/>
      </w:pPr>
      <w:r>
        <w:rPr/>
      </w:r>
    </w:p>
    <w:p>
      <w:pPr>
        <w:pStyle w:val="style0"/>
        <w:spacing w:line="100" w:lineRule="atLeast"/>
        <w:jc w:val="both"/>
      </w:pPr>
      <w:r>
        <w:rPr/>
        <w:t xml:space="preserve">     </w:t>
      </w:r>
      <w:r>
        <w:rPr/>
        <w:t>3. Бельгийн Вант Улсын хөнгөлөлттэй зээлийн хөрөнгөөр хэрэгжүүлэх “Баруун бүсийн оношилгоо, эмчилгээний төвийг бэхжүүлэх төслийн зээлийн хэлэлцээр” зөвшилцөх</w:t>
      </w:r>
    </w:p>
    <w:p>
      <w:pPr>
        <w:pStyle w:val="style0"/>
        <w:spacing w:line="100" w:lineRule="atLeast"/>
        <w:jc w:val="both"/>
      </w:pPr>
      <w:r>
        <w:rPr/>
      </w:r>
    </w:p>
    <w:p>
      <w:pPr>
        <w:pStyle w:val="style0"/>
        <w:spacing w:line="100" w:lineRule="atLeast"/>
        <w:jc w:val="both"/>
      </w:pPr>
      <w:r>
        <w:rPr>
          <w:lang w:val="mn-MN"/>
        </w:rPr>
        <w:tab/>
        <w:t xml:space="preserve">4. Далайн хөдөлмөрийн тухай Олон улсын хөдөлмөрийн байгууллагын 2006 оны конвенцид нэгдэн орох тухай зөвшилцөх </w:t>
      </w:r>
    </w:p>
    <w:p>
      <w:pPr>
        <w:pStyle w:val="style0"/>
        <w:spacing w:line="100" w:lineRule="atLeast"/>
        <w:jc w:val="both"/>
      </w:pPr>
      <w:r>
        <w:rPr/>
      </w:r>
    </w:p>
    <w:p>
      <w:pPr>
        <w:pStyle w:val="style0"/>
        <w:spacing w:line="100" w:lineRule="atLeast"/>
        <w:jc w:val="both"/>
      </w:pPr>
      <w:r>
        <w:rPr>
          <w:lang w:val="mn-MN"/>
        </w:rPr>
        <w:tab/>
        <w:t xml:space="preserve">5. Аврах ажиллагааны тухай 1989 оны Лондонгийн конвенцид нэгдэн орох тухай зөвшилцөх   </w:t>
      </w:r>
    </w:p>
    <w:p>
      <w:pPr>
        <w:pStyle w:val="style0"/>
        <w:spacing w:line="100" w:lineRule="atLeast"/>
        <w:jc w:val="both"/>
      </w:pPr>
      <w:r>
        <w:rPr>
          <w:lang w:val="mn-MN"/>
        </w:rPr>
        <w:tab/>
      </w:r>
    </w:p>
    <w:p>
      <w:pPr>
        <w:pStyle w:val="style0"/>
        <w:spacing w:line="100" w:lineRule="atLeast"/>
        <w:jc w:val="both"/>
      </w:pPr>
      <w:r>
        <w:rPr>
          <w:lang w:val="mn-MN"/>
        </w:rPr>
        <w:tab/>
        <w:t xml:space="preserve">Байнгын хорооноос Үндэсний аюулгүй байдлын зөвлөлийн тухай хуульд нэмэлт, өөрчлөлт оруулах тухай хуулийн төслийг хэлэлцүүлэгт бэлтгэх үүрэг бүхий ажлын хэсгийг байгуулан ажиллаж байна. </w:t>
      </w:r>
    </w:p>
    <w:p>
      <w:pPr>
        <w:pStyle w:val="style0"/>
        <w:spacing w:line="100" w:lineRule="atLeast"/>
        <w:jc w:val="both"/>
      </w:pPr>
      <w:r>
        <w:rPr/>
      </w:r>
    </w:p>
    <w:p>
      <w:pPr>
        <w:pStyle w:val="style0"/>
        <w:spacing w:line="100" w:lineRule="atLeast"/>
        <w:jc w:val="both"/>
      </w:pPr>
      <w:r>
        <w:rPr>
          <w:lang w:val="mn-MN"/>
        </w:rPr>
        <w:tab/>
      </w:r>
      <w:r>
        <w:rPr>
          <w:b/>
          <w:bCs/>
          <w:i/>
          <w:iCs/>
          <w:lang w:val="mn-MN"/>
        </w:rPr>
        <w:t>2.Хянан шалгалтын ажлын талаар</w:t>
      </w:r>
    </w:p>
    <w:p>
      <w:pPr>
        <w:pStyle w:val="style0"/>
        <w:spacing w:line="100" w:lineRule="atLeast"/>
        <w:jc w:val="both"/>
      </w:pPr>
      <w:r>
        <w:rPr/>
        <w:tab/>
      </w:r>
    </w:p>
    <w:p>
      <w:pPr>
        <w:pStyle w:val="style0"/>
        <w:spacing w:line="100" w:lineRule="atLeast"/>
        <w:jc w:val="both"/>
      </w:pPr>
      <w:r>
        <w:rPr>
          <w:lang w:val="mn-MN"/>
        </w:rPr>
        <w:tab/>
        <w:t>УИХ-ын Аюулгүй байдал, гадаад бодлогын байнгын хорооны дарга Ц.Оюунбаатар 3  сарын 03-09-ний өдрүүдэд БНСУ-д томилолтоор ажилласан. Монг</w:t>
      </w:r>
      <w:r>
        <w:rPr/>
        <w:t>ол Улсаас БНСУ-д суугаа Элчин сайдын яамны үйл ажиллагаа, Улсын Их Хурлын 2013 оны 43 тоот тогтоолын дагуу Пусан хотод Консулын газар нээн ажиллуулах бэлтгэл ажил, БНСУ-д сурч, ажиллаж амьдарч байгаа Монгол Улсын иргэдийн эрх ашгийг хамгаалах талаар авч хэрэгжүүлж байгаа арга хэмжээ, БНСУ-ын иргэдэд виз олгож буй үйл ажиллагаатай газар дээр нь танилцлаа. Мөн монгол иргэдийн эрх зөрчигдсөн, гэмт хэрэг, зөрчилд өртсөн байдлын талаар судалж, БНСУ-ын 3 хот дахь 150 монгол иргэнээс 22 асуулт бүхий судалгааны хуудсаар судалгаа авч, монгол иргэд, төрийн бус байгууллага, олон нийтийн байгууллагын төлөөлөгчидтэй уулзалт зохион байгуулж санал солилцсон.</w:t>
      </w:r>
    </w:p>
    <w:p>
      <w:pPr>
        <w:pStyle w:val="style0"/>
        <w:spacing w:line="100" w:lineRule="atLeast"/>
        <w:jc w:val="both"/>
      </w:pPr>
      <w:r>
        <w:rPr/>
      </w:r>
    </w:p>
    <w:p>
      <w:pPr>
        <w:pStyle w:val="style0"/>
        <w:spacing w:line="100" w:lineRule="atLeast"/>
        <w:jc w:val="both"/>
      </w:pPr>
      <w:r>
        <w:rPr>
          <w:lang w:val="mn-MN"/>
        </w:rPr>
        <w:tab/>
        <w:t>Аюулгүй байдал, гадаад бодлогын байнгын хорооны дарга Ц.Оюунбаатар, Улсын Их Хурлын гишүүн Н.Энхболд нар 2014 оны 4 дүгээр сард Батлан хамгаалах яам, Зэвсэгт хүчний жанжин штаб, Батлан хамгаалахын их сургуулийн үйл ажиллагаатай танилцсан. Уулзалтад Батлан хамгаалах яамны Стратегийн удирдлага, төлөвлөлтийн газрын дарга Д.Баярсайхан яамны бүтэц, зохион байгуулалт болон салбарын үйл ажиллагааны талаар, Зэвсэгт хүчний жанжин штабын дарга Ц.Бямбажав Зэвсэгт хүчний үйл ажиллагааны талаар тус тус танилцуулга хийж ажлын хэсгийн гишүүдтэй  санал солилцон ажилласан. Байнгын хорооны гишүүд Зэвсэгт хүчний 350, 014, 353, 373 дугаар ангийн үйл ажиллагаа, зарим хуулийн хэрэгжилтийн байдалтай танилцсан.</w:t>
      </w:r>
    </w:p>
    <w:p>
      <w:pPr>
        <w:pStyle w:val="style0"/>
        <w:spacing w:line="100" w:lineRule="atLeast"/>
        <w:jc w:val="both"/>
      </w:pPr>
      <w:r>
        <w:rPr/>
      </w:r>
    </w:p>
    <w:p>
      <w:pPr>
        <w:pStyle w:val="style0"/>
        <w:spacing w:line="100" w:lineRule="atLeast"/>
        <w:jc w:val="both"/>
      </w:pPr>
      <w:r>
        <w:rPr>
          <w:lang w:val="mn-MN"/>
        </w:rPr>
        <w:tab/>
      </w:r>
      <w:r>
        <w:rPr>
          <w:lang w:val="mn-MN"/>
        </w:rPr>
        <w:t>Үндэсний аюулгүй байдлын үзэл баримтлал, Гадаад бодлогын үзэл баримтлалын хэрэгжилтэд хяналт-шинжилгээ хийн үнэлж, санал дүгнэлт гарган Аюулгүй байдал, гадаад бодлогын байнгын хорооны хуралдаанд танилцуулах үүрэг бүхий ажлын хэсгийн гишүүд гадаад улсад суугаа Элчин сайдуудтай 2014 оны 5 дугаар сарын 21-ний өдөр Гадаад харилцааны яаманд цахим уулзалт хийсэн. Цахим уулзалтанд Улсын Их Хурлын гишүүн, ажлын хэсгийн ахлагч Д.Дэмбэрэл, Улсын Их Хурлын гишүүн Р.Амаржаргал, Б.Болор болон нийт 13 элчин сайд нар оролцон цаг үеийн асуудал, гадаад улс дахь элчин сайдын яамдад тулгарч байгаа асуудлыг танилцуулан, харилцан санал солилцсон.</w:t>
      </w:r>
    </w:p>
    <w:p>
      <w:pPr>
        <w:pStyle w:val="style0"/>
        <w:spacing w:line="100" w:lineRule="atLeast"/>
        <w:jc w:val="both"/>
      </w:pPr>
      <w:r>
        <w:rPr/>
      </w:r>
    </w:p>
    <w:p>
      <w:pPr>
        <w:pStyle w:val="style0"/>
        <w:spacing w:line="100" w:lineRule="atLeast"/>
        <w:jc w:val="both"/>
      </w:pPr>
      <w:r>
        <w:rPr>
          <w:lang w:val="mn-MN"/>
        </w:rPr>
        <w:tab/>
      </w:r>
      <w:r>
        <w:rPr>
          <w:lang w:val="mn-MN"/>
        </w:rPr>
        <w:t>Аюулгүй байдал, гадаад бодлогын байнгын хорооны дарга Ц.Оюунбаатар, Улсын Их Хурлын гишүүн Н.Энхболд, М.Батчимэг нар Монгол Улсаас Зүүн хойд Азид суугаа Элчин сайд нарын зөвлөлгөөн 2014 оны 5 дугаар сарын 22-28-ны өдрүүдэд  тус зөвлөлгөөнд оролцсон. Төлөөлөгчид БНХАУ-ын Ляонин мужийн Шэньян, Дандун, Зилинь мужийн Чанчүн, Янжи, Хуньчунь хот, Дандун далайн боомт, БНАСАУ-ын Расөн эдийн засгийн чөлөөт бүс, Ражин, Үнсан боомтын үйл ажиллагаатай танилцсан.</w:t>
      </w:r>
    </w:p>
    <w:p>
      <w:pPr>
        <w:pStyle w:val="style0"/>
        <w:spacing w:line="100" w:lineRule="atLeast"/>
        <w:jc w:val="both"/>
      </w:pPr>
      <w:r>
        <w:rPr/>
      </w:r>
    </w:p>
    <w:p>
      <w:pPr>
        <w:pStyle w:val="style0"/>
        <w:spacing w:line="100" w:lineRule="atLeast"/>
        <w:jc w:val="both"/>
      </w:pPr>
      <w:r>
        <w:rPr>
          <w:lang w:val="mn-MN"/>
        </w:rPr>
        <w:tab/>
        <w:t xml:space="preserve">Хятадын зүүн хойд бүс нутгийн хөгжил, Монгол Улсыг тус бүс нутгаар дамжуулан далайд гаргах, Зүүн хойд Азийн бүс нутгийн интеграцид Монгол Улс хэрхэн оролцох зэрэг асуудлуудыг шийдвэрлэхэд газар дээр нь очиж танилцах нь ач холбогдолтой байв. Ялангуяа Монгол Улс далайд гарцгүй орны хувьд далайд гарах боломжит гарцыг эрэлхийлэх, эдгээр гарцыг хөгжүүлэх талаар бүс нутгийн орнуудтай хамтран ажиллах боломжийг судлах, дээрх боомтуудын дэд бүтэцтэй танилцах, дотоод дахь дэд бүтцээ үүнтэй уялдуулан хөгжүүлэх зэрэг асуудалд тус дөхөм болно. </w:t>
      </w:r>
    </w:p>
    <w:p>
      <w:pPr>
        <w:pStyle w:val="style0"/>
        <w:spacing w:line="100" w:lineRule="atLeast"/>
        <w:jc w:val="both"/>
      </w:pPr>
      <w:r>
        <w:rPr/>
        <w:tab/>
      </w:r>
    </w:p>
    <w:p>
      <w:pPr>
        <w:pStyle w:val="style0"/>
        <w:spacing w:line="100" w:lineRule="atLeast"/>
        <w:jc w:val="both"/>
      </w:pPr>
      <w:r>
        <w:rPr/>
        <w:tab/>
      </w:r>
      <w:r>
        <w:rPr>
          <w:lang w:val="mn-MN"/>
        </w:rPr>
        <w:t>Аюулгүй байдал, гадаад бодлогын байнгын хорооны дарга Ц.Оюунбаатар 2014 оны 6 дугаар сарын 19-нөөс 22-ны өдрүүдэд Дархан-Уул аймаг дахь Зэвсэгт хүчний 330 дугаар анги, Сэлэнгэ аймаг дахь хилийн 0243 дугаар ангийн ажил байдалтай танилцаж, зэвсэгт хүчний болон хилийн анги, салбаруудад тулгамдаж буй асуудлын талаар харилцан санал солилцсон.</w:t>
      </w:r>
    </w:p>
    <w:p>
      <w:pPr>
        <w:pStyle w:val="style19"/>
        <w:spacing w:line="100" w:lineRule="atLeast"/>
        <w:jc w:val="both"/>
      </w:pPr>
      <w:r>
        <w:rPr>
          <w:lang w:val="mn-MN"/>
        </w:rPr>
        <w:tab/>
      </w:r>
    </w:p>
    <w:p>
      <w:pPr>
        <w:pStyle w:val="style19"/>
        <w:spacing w:line="100" w:lineRule="atLeast"/>
        <w:jc w:val="both"/>
      </w:pPr>
      <w:r>
        <w:rPr>
          <w:lang w:val="mn-MN"/>
        </w:rPr>
        <w:tab/>
        <w:t xml:space="preserve">Батлан хамгаалах яам болон зэвсэгт хүчний жанжин штабт зэвсэг техникийн өнөөгийн байдал, хадгалалт хамгаалалтын байдалтай танилцаж санал, дүгнэлт гаргах үүрэг бүхий Улсын Их Хурлын гишүүн Ж.Энхбаяраар ахлуулсан ажлын хэсгийг байгуулж  Батлан хамгаалах салбарын эрх зүйн асуудал, зэвсэглэл, байлдааны техникийн өнөөгийн байдал, тулгамдаж буй асуудал, нийгмийн хамгааллын асуудлаар холбогдох мэдээллийг гаргуулан авч ажилласан. Ажлын хэсгийн гишүүд Батлан хамгаалах яам, зэвсэгт хүчний анги, салбаруудын ажил байдал, зэвсэг техникийн хадгалалт хамгаалалтын байдалтай газар дээр нь очиж танилцахаар ажиллаж байна. </w:t>
      </w:r>
    </w:p>
    <w:p>
      <w:pPr>
        <w:pStyle w:val="style19"/>
        <w:spacing w:line="100" w:lineRule="atLeast"/>
        <w:jc w:val="both"/>
      </w:pPr>
      <w:r>
        <w:rPr>
          <w:lang w:val="mn-MN"/>
        </w:rPr>
        <w:tab/>
      </w:r>
      <w:r>
        <w:rPr>
          <w:lang w:val="mn-MN"/>
        </w:rPr>
        <w:t>Улсын Их Хурлын гишүүн М.Батчимэгээр ахлуулсан Гадаад бодлогын асуудлаар шийдвэр гаргах үйл ажиллагааг /механизмыг/ боловсронгуй болгох, хариуцлагажуулах байдалд дүгнэлт хийх үүрэг бүхий ажлын хэсэг 3 удаа хуралдаж ажлын хэсгийн санал, дүгнэлт, байнгын хорооны тогтоолын төсөл боловсруулан Байнгын хорооны хуралдаанд танилцуулж Гадаад бодлогын шийдвэр гаргах тогтолцоог боловсронгуй болгох талаар чиглэл өгөх тухай Байнгын хорооны тогтоол батлан Засгийн газар, Гадаад харилцааны яаманд чиглэл өгч ажилласан.</w:t>
      </w:r>
    </w:p>
    <w:p>
      <w:pPr>
        <w:pStyle w:val="style19"/>
        <w:spacing w:line="100" w:lineRule="atLeast"/>
        <w:jc w:val="both"/>
      </w:pPr>
      <w:r>
        <w:rPr>
          <w:lang w:val="mn-MN"/>
        </w:rPr>
        <w:tab/>
        <w:t xml:space="preserve">Улсын Их Хурлын гишүүн Д.Дэмбэрэлээр ахлуулсан Үндэсний аюулгүй байдлын үзэл баримтлал, Гадаад бодлогын үзэл баримтлалын хэрэгжилтэд хяналт-шинжилгээ хийн үнэлж, санал дүгнэлт гаргах, ажлын хэсэг 4 удаа хуралдан, гадаад харилцааны салбарын бодлогын баримт бичгийн хэрэгжилтийг гаргуулан судлах, санал дүгнэлт боловсруулах ажлыг хийж байна.  </w:t>
        <w:tab/>
      </w:r>
    </w:p>
    <w:p>
      <w:pPr>
        <w:pStyle w:val="style19"/>
        <w:spacing w:line="100" w:lineRule="atLeast"/>
        <w:jc w:val="both"/>
      </w:pPr>
      <w:r>
        <w:rPr>
          <w:lang w:val="mn-MN"/>
        </w:rPr>
        <w:tab/>
        <w:t>Аюулгүй байдал, гадаад бодлогын байнгын хорооны дарга Ц.Оюунбаатарын 2014 оны 07 дугаар сарын 22-29-ний өдрүүдэд ОХУ-ын Эрхүү, Улаан-Үдийн Консулын газрууд, Сүхбаатар боомтын үйл ажиллагаа болон хууль, тогтоолын хэрэгжилтийн явцтай танилцах ажлын удирдамж, зардлын төсвийг батлуулж бэлтгэл ажлыг хангаж ажиллаж байна.</w:t>
      </w:r>
    </w:p>
    <w:p>
      <w:pPr>
        <w:pStyle w:val="style19"/>
        <w:spacing w:line="100" w:lineRule="atLeast"/>
        <w:jc w:val="both"/>
      </w:pPr>
      <w:r>
        <w:rPr>
          <w:lang w:val="mn-MN"/>
        </w:rPr>
        <w:tab/>
      </w:r>
      <w:r>
        <w:rPr>
          <w:b/>
          <w:bCs/>
          <w:i/>
          <w:iCs/>
          <w:lang w:val="mn-MN"/>
        </w:rPr>
        <w:t>3.Лавлагаа, мэдээлэл, судалгааны ажлын талаар</w:t>
      </w:r>
    </w:p>
    <w:p>
      <w:pPr>
        <w:pStyle w:val="style0"/>
        <w:spacing w:line="100" w:lineRule="atLeast"/>
        <w:jc w:val="both"/>
      </w:pPr>
      <w:r>
        <w:rPr>
          <w:lang w:val="mn-MN"/>
        </w:rPr>
        <w:tab/>
      </w:r>
      <w:r>
        <w:rPr>
          <w:lang w:val="mn-MN"/>
        </w:rPr>
        <w:t>Ажлын албанаас Байнгын хорооны эрхлэх асуудлын чиглэлээр тайлангийн хугацаанд нийт 32 удаагийн судалгаа, лавлагаа, мэдээлэл, танилцуулга боловсруулсан. Үүнд:</w:t>
      </w:r>
    </w:p>
    <w:p>
      <w:pPr>
        <w:pStyle w:val="style0"/>
        <w:spacing w:line="100" w:lineRule="atLeast"/>
        <w:jc w:val="both"/>
      </w:pPr>
      <w:r>
        <w:rPr/>
      </w:r>
    </w:p>
    <w:p>
      <w:pPr>
        <w:pStyle w:val="style0"/>
        <w:spacing w:line="100" w:lineRule="atLeast"/>
        <w:jc w:val="both"/>
      </w:pPr>
      <w:r>
        <w:rPr>
          <w:lang w:val="mn-MN"/>
        </w:rPr>
        <w:tab/>
        <w:t xml:space="preserve">Төрийн цэргийн бодлогын үндэс, Батлан хамгаалах бодлогын үндэс төслүүдийн харьцуулсан судалгаа, Батлан хамгаалах яам, Зэвсэгт хүчний жанжин штабын хөгжлийн бодлого төлөвлөлтийн баримт бичгүүдийн хэрэгжилтийн явц байдалд дүгнэлт хийж, цаашид авах арга хэмжээний тухай санал боловсруулж, Иргэний болон цэргийн тэтгэвэр, тэтгэмжийн хуулийн талаар харьцуулсан судалгаануудыг хийж ажилласан. </w:t>
      </w:r>
    </w:p>
    <w:p>
      <w:pPr>
        <w:pStyle w:val="style0"/>
        <w:spacing w:line="100" w:lineRule="atLeast"/>
        <w:jc w:val="both"/>
      </w:pPr>
      <w:r>
        <w:rPr>
          <w:lang w:val="mn-MN"/>
        </w:rPr>
        <w:tab/>
      </w:r>
    </w:p>
    <w:p>
      <w:pPr>
        <w:pStyle w:val="style0"/>
        <w:spacing w:line="100" w:lineRule="atLeast"/>
        <w:jc w:val="both"/>
      </w:pPr>
      <w:r>
        <w:rPr>
          <w:lang w:val="mn-MN"/>
        </w:rPr>
        <w:tab/>
        <w:t xml:space="preserve">Цөмийн энерги, цацраг идэвхт ашигт малтмалын эрх зүйн орчин, тусгай зөвшөөрлийн талаар олон нийтийн байр суурь,  гадаадад ажиллаж амьдарч байгаа монгол иргэдийн талаар болон бусад асуудлаар лавлагаа мэдээлэл бэлтгэсэн. </w:t>
      </w:r>
    </w:p>
    <w:p>
      <w:pPr>
        <w:pStyle w:val="style0"/>
        <w:spacing w:line="100" w:lineRule="atLeast"/>
        <w:jc w:val="both"/>
      </w:pPr>
      <w:r>
        <w:rPr>
          <w:lang w:val="mn-MN"/>
        </w:rPr>
        <w:tab/>
      </w:r>
    </w:p>
    <w:p>
      <w:pPr>
        <w:pStyle w:val="style0"/>
        <w:spacing w:line="100" w:lineRule="atLeast"/>
        <w:jc w:val="both"/>
      </w:pPr>
      <w:r>
        <w:rPr>
          <w:lang w:val="mn-MN"/>
        </w:rPr>
        <w:tab/>
        <w:t xml:space="preserve">Үндэсний тагнуулын академи, Стратеги судалгааны хүрээлэн, Улсын Их Хурлын гишүүн Н.Батчимэгийн ажлын албатай хамтран Тусгай хяналтын дэд хорооны дүрмийг төслийг  боловсруулсан. </w:t>
      </w:r>
    </w:p>
    <w:p>
      <w:pPr>
        <w:pStyle w:val="style0"/>
        <w:spacing w:line="100" w:lineRule="atLeast"/>
        <w:jc w:val="both"/>
      </w:pPr>
      <w:r>
        <w:rPr/>
      </w:r>
    </w:p>
    <w:p>
      <w:pPr>
        <w:pStyle w:val="style0"/>
        <w:spacing w:line="100" w:lineRule="atLeast"/>
        <w:jc w:val="both"/>
      </w:pPr>
      <w:r>
        <w:rPr>
          <w:lang w:val="mn-MN"/>
        </w:rPr>
        <w:t xml:space="preserve"> </w:t>
      </w:r>
      <w:r>
        <w:rPr>
          <w:lang w:val="mn-MN"/>
        </w:rPr>
        <w:tab/>
        <w:t xml:space="preserve">Зөвшөөрлийн тухай болон Зөвшөөрлийн жагсаалт батлах тухай хуулийн  төслүүдтэй хамт өргөн баригдсан Цөмийн энергийн тухай хуулийн зарим зүйл, заалттай зөрчилдөж байгаа тухай лавлагааг гаргаж Байнгын хорооны дарга, гишүүдийг мэдээллээр хангаж ажилласан. </w:t>
      </w:r>
    </w:p>
    <w:p>
      <w:pPr>
        <w:pStyle w:val="style0"/>
        <w:spacing w:line="100" w:lineRule="atLeast"/>
        <w:jc w:val="both"/>
      </w:pPr>
      <w:r>
        <w:rPr/>
      </w:r>
    </w:p>
    <w:p>
      <w:pPr>
        <w:pStyle w:val="style0"/>
        <w:spacing w:line="100" w:lineRule="atLeast"/>
        <w:jc w:val="both"/>
      </w:pPr>
      <w:r>
        <w:rPr>
          <w:lang w:val="mn-MN"/>
        </w:rPr>
        <w:tab/>
        <w:t>Улсын Их Хурлын Аюулгүй байдал, гадаад бодлогын байнгын хорооноос 2014 оны 9 дүгээр сард зохион байгуулах “Үндэсний аюулгүй байдал ба авлига” сэдэвт онол-практикийн бага хурлыг зохион байгуулах бэлтгэл ажлын төлөвлөгөөг гарган ажиллаж байна. Төлөвлөгөөний дагуу авлигатай тэмцэх асуудлаар гадаад, дотоодын түүвэрчилсэн судалгааг хийж, хурал зохион байгуулах дэд ажлын хэсгийн гишүүдтэй 3 удаагийн уулзалтыг зохион байгуулсан.</w:t>
      </w:r>
    </w:p>
    <w:p>
      <w:pPr>
        <w:pStyle w:val="style0"/>
        <w:spacing w:line="100" w:lineRule="atLeast"/>
        <w:jc w:val="both"/>
      </w:pPr>
      <w:r>
        <w:rPr/>
      </w:r>
    </w:p>
    <w:p>
      <w:pPr>
        <w:pStyle w:val="style0"/>
        <w:spacing w:line="100" w:lineRule="atLeast"/>
        <w:jc w:val="both"/>
      </w:pPr>
      <w:r>
        <w:rPr>
          <w:lang w:val="mn-MN"/>
        </w:rPr>
        <w:tab/>
      </w:r>
      <w:r>
        <w:rPr>
          <w:b/>
          <w:bCs/>
          <w:i/>
          <w:iCs/>
          <w:lang w:val="mn-MN"/>
        </w:rPr>
        <w:t>4.Олон нийт, хэвлэл мэдээлэлтэй харилцах талаар</w:t>
      </w:r>
    </w:p>
    <w:p>
      <w:pPr>
        <w:pStyle w:val="style0"/>
        <w:spacing w:line="100" w:lineRule="atLeast"/>
        <w:jc w:val="both"/>
      </w:pPr>
      <w:r>
        <w:rPr/>
      </w:r>
    </w:p>
    <w:p>
      <w:pPr>
        <w:pStyle w:val="style0"/>
        <w:spacing w:line="100" w:lineRule="atLeast"/>
        <w:jc w:val="both"/>
      </w:pPr>
      <w:r>
        <w:rPr>
          <w:lang w:val="mn-MN"/>
        </w:rPr>
        <w:tab/>
      </w:r>
      <w:r>
        <w:rPr>
          <w:lang w:val="mn-MN"/>
        </w:rPr>
        <w:t>Улсын Их Хурлын Аюулгүй байдал, гадаад бодлогын байнгын хорооноос 2014 оны 5 дугаар сарын 6-ны өдрөөс эхлэн “Гадаадад  ажиллаж, амьдарч байгаа монгол иргэдийн эрх ашиг” сэдэвт судалгааны санал асуулгыг Улсын Их Хурлын цахим хуудсаар (</w:t>
      </w:r>
      <w:hyperlink r:id="rId3">
        <w:r>
          <w:rPr>
            <w:rStyle w:val="style15"/>
            <w:rStyle w:val="style15"/>
          </w:rPr>
          <w:t>www.parliament.mn/polls</w:t>
        </w:r>
      </w:hyperlink>
      <w:r>
        <w:rPr>
          <w:lang w:val="mn-MN"/>
        </w:rPr>
        <w:t>) явуулж байна. Санал асуулгын  цахим линкийг Гадаад харилцааны яамны веб сайт, фэйсбук, твитер, гадаад улсад суугаа 25 Дипломат төлөөлөгчдийн газрын болон гадаад орнуудад байгаа монголчуудын зарим веб сайтад байршуулсан. Энэ хугацаанд санал асуулгад 356 хүн оролцсон байна. Байнгын хороо энэ цахим асуулгын явцын талаарх мэдээг 2 удаа сонин хэвлэл, веб сайтуудад  гаргасан.</w:t>
      </w:r>
    </w:p>
    <w:p>
      <w:pPr>
        <w:pStyle w:val="style0"/>
        <w:spacing w:line="100" w:lineRule="atLeast"/>
        <w:jc w:val="both"/>
      </w:pPr>
      <w:r>
        <w:rPr/>
      </w:r>
    </w:p>
    <w:p>
      <w:pPr>
        <w:pStyle w:val="style0"/>
        <w:spacing w:line="100" w:lineRule="atLeast"/>
        <w:jc w:val="both"/>
      </w:pPr>
      <w:r>
        <w:rPr>
          <w:lang w:val="mn-MN"/>
        </w:rPr>
        <w:tab/>
      </w:r>
      <w:r>
        <w:rPr/>
        <w:t>Дорнод аймгийн Халхгол суманд хэрэгжиж байгаа “Халх гол” төслийн талаар  хэвлэл мэдээллийн хэрэгслээр гарч байгаа мэдээллийн дагуу Засгийн Газрын Хэрэг эрхлэх газар, “Халх гол” төсөл, Дорнод аймгийн Засаг даргын Тамгын газраас мэдээлэл, тайланг гаргуулан авч</w:t>
      </w:r>
      <w:r>
        <w:rPr>
          <w:lang w:val="mn-MN"/>
        </w:rPr>
        <w:t xml:space="preserve"> танилцан төслийн явц, хэрэгжилтийн талаар  мэдээлэл бэлтгэн Улсын Их Хурлын Тамгын газрын Хэвлэл, мэдээлэл, олон нийттэй харилцах хэлтэстэй хамтран дотоод сүлжээ болон өдөр тутмын хэвлэл, мэдээллийн хэрэгслээр дамжуулан олон нийтэд хүргэж ажилласан.  </w:t>
      </w:r>
    </w:p>
    <w:p>
      <w:pPr>
        <w:pStyle w:val="style0"/>
        <w:spacing w:line="100" w:lineRule="atLeast"/>
        <w:jc w:val="both"/>
      </w:pPr>
      <w:r>
        <w:rPr>
          <w:b/>
          <w:bCs/>
          <w:i/>
          <w:iCs/>
        </w:rPr>
      </w:r>
    </w:p>
    <w:p>
      <w:pPr>
        <w:pStyle w:val="style0"/>
        <w:spacing w:line="100" w:lineRule="atLeast"/>
        <w:jc w:val="both"/>
      </w:pPr>
      <w:r>
        <w:rPr>
          <w:b/>
          <w:bCs/>
          <w:i/>
          <w:iCs/>
          <w:lang w:val="mn-MN"/>
        </w:rPr>
        <w:tab/>
      </w:r>
      <w:r>
        <w:rPr>
          <w:b/>
          <w:bCs/>
          <w:i/>
          <w:iCs/>
          <w:lang w:val="mn-MN"/>
        </w:rPr>
        <w:t>5.Байнгын хорооны дотоод ажил</w:t>
      </w:r>
    </w:p>
    <w:p>
      <w:pPr>
        <w:pStyle w:val="style0"/>
        <w:spacing w:line="100" w:lineRule="atLeast"/>
        <w:jc w:val="both"/>
      </w:pPr>
      <w:r>
        <w:rPr/>
      </w:r>
    </w:p>
    <w:p>
      <w:pPr>
        <w:pStyle w:val="style0"/>
        <w:spacing w:line="100" w:lineRule="atLeast"/>
        <w:jc w:val="both"/>
      </w:pPr>
      <w:r>
        <w:rPr>
          <w:lang w:val="mn-MN"/>
        </w:rPr>
        <w:t xml:space="preserve">Байнгын хорооны дарга, гишүүд, ажлын албанаас тайлангийн хугацаанд нийт    12  удаа уулзалт, ярилцлага зохион байгуулсан.  </w:t>
      </w:r>
    </w:p>
    <w:p>
      <w:pPr>
        <w:pStyle w:val="style0"/>
        <w:spacing w:line="100" w:lineRule="atLeast"/>
        <w:jc w:val="both"/>
      </w:pPr>
      <w:r>
        <w:rPr/>
      </w:r>
    </w:p>
    <w:p>
      <w:pPr>
        <w:pStyle w:val="style0"/>
        <w:spacing w:line="100" w:lineRule="atLeast"/>
        <w:jc w:val="both"/>
      </w:pPr>
      <w:r>
        <w:rPr>
          <w:lang w:val="mn-MN"/>
        </w:rPr>
        <w:tab/>
        <w:t xml:space="preserve">Байнгын хорооны ажлын албаны ажилтнууд эрхлэх асуудлын хүрээнд Биологийн болон химийн зэвсгийг хориглох тухай конвенциудын хэрэгжилтийн асуудлаар НҮБ-тай хамтран зохион байгуулсан олон улсын семинар, “Монгол Улсын гамшгийн эрсдэлийг бууруулах чадавхийг сайжруулах төсөл”-ийн үйл ажиллагааг эхлүүлэх үндэсний семинар, Зүүн хойд Азийн аюулгүй байдлын Улаанбаатарын ярилцлага олон улсын хурал, Авлигын эсрэг төр, хувийн хэвшил, иргэний нийгмийн хамтын ажиллагааг эрчимжүүлэх нь Үндэсний форумд тус тус оролцож, үг хэллээ. </w:t>
      </w:r>
    </w:p>
    <w:p>
      <w:pPr>
        <w:pStyle w:val="style0"/>
        <w:spacing w:line="100" w:lineRule="atLeast"/>
        <w:jc w:val="both"/>
      </w:pPr>
      <w:r>
        <w:rPr>
          <w:lang w:val="mn-MN"/>
        </w:rPr>
        <w:t xml:space="preserve"> </w:t>
      </w:r>
    </w:p>
    <w:p>
      <w:pPr>
        <w:pStyle w:val="style0"/>
        <w:spacing w:line="100" w:lineRule="atLeast"/>
        <w:jc w:val="both"/>
      </w:pPr>
      <w:r>
        <w:rPr>
          <w:lang w:val="mn-MN"/>
        </w:rPr>
        <w:tab/>
        <w:t xml:space="preserve">Байнгын хороонд хуваарилсан 12 хууль, тогтоолын төслийн эх хувиуд, Байнгын хорооны санал дүгнэлт, холбогдох бусад материалуудыг цахим парламент систем /intra.parliament.mn/, хөдөлгөөнт төхөөрөмжид суурилсан my parliament; /ipad/ системд тус тус цаг хугацаанд нь тогтмол оруулж ирсэн. Ажлын алба Байнгын хорооны 11 хуралдааны дараалал боловсруулан ажлын алба Байнгын хорооны дарга, гишүүдэд мэргэжил арга зүйн туслалцаа үзүүлж ажилласан.  </w:t>
      </w:r>
    </w:p>
    <w:p>
      <w:pPr>
        <w:pStyle w:val="style0"/>
        <w:spacing w:line="100" w:lineRule="atLeast"/>
        <w:jc w:val="both"/>
      </w:pPr>
      <w:r>
        <w:rPr>
          <w:lang w:val="mn-MN"/>
        </w:rPr>
        <w:tab/>
      </w:r>
    </w:p>
    <w:p>
      <w:pPr>
        <w:pStyle w:val="style0"/>
        <w:spacing w:line="100" w:lineRule="atLeast"/>
        <w:jc w:val="both"/>
      </w:pPr>
      <w:r>
        <w:rPr>
          <w:lang w:val="mn-MN"/>
        </w:rPr>
        <w:tab/>
        <w:t>Тайлангийн хугацаанд Байнгын хороонд нийт 41 өргөдөл гомдол,  албан бичиг,  хүлээн ав</w:t>
      </w:r>
      <w:r>
        <w:rPr>
          <w:lang w:val="mn-MN"/>
        </w:rPr>
        <w:t xml:space="preserve">ч 28-г </w:t>
      </w:r>
      <w:r>
        <w:rPr>
          <w:lang w:val="mn-MN"/>
        </w:rPr>
        <w:t>шийдвэрлэсэн байна. Ажлын албанаас  хууль, Улсын Их Хурлын бусад шийдвэрийн хувийн хэрэг</w:t>
      </w:r>
      <w:r>
        <w:rPr>
          <w:lang w:val="mn-MN"/>
        </w:rPr>
        <w:t xml:space="preserve"> 5 боть 341</w:t>
      </w:r>
      <w:r>
        <w:rPr>
          <w:lang w:val="mn-MN"/>
        </w:rPr>
        <w:t xml:space="preserve"> хуудас,  хуралдааны тэмдэглэли</w:t>
      </w:r>
      <w:r>
        <w:rPr>
          <w:lang w:val="mn-MN"/>
        </w:rPr>
        <w:t xml:space="preserve">йн 1 боть 242 хуудас, бусад асуудлаар 1 боть, нийт 7 боть баримт бичгийн архивын нэгж болгон архивт шилжүүлсэн. </w:t>
      </w:r>
    </w:p>
    <w:p>
      <w:pPr>
        <w:pStyle w:val="style0"/>
        <w:spacing w:line="100" w:lineRule="atLeast"/>
        <w:jc w:val="both"/>
      </w:pPr>
      <w:r>
        <w:rPr/>
      </w:r>
    </w:p>
    <w:p>
      <w:pPr>
        <w:pStyle w:val="style0"/>
        <w:spacing w:line="100" w:lineRule="atLeast"/>
        <w:jc w:val="both"/>
      </w:pPr>
      <w:r>
        <w:rPr>
          <w:lang w:val="mn-MN"/>
        </w:rPr>
        <w:tab/>
        <w:t xml:space="preserve">Ажлын албанаас 44 баримт бичгийн 569 хуудсыг 25-130 хувиар, нийт 19662 хуудас олшруулан Улсын Их Хурлын болон Байнгын хорооны гишүүд, Тамгын газрын холбогдох хэлтэс, албадад тараасан.  </w:t>
        <w:tab/>
      </w:r>
    </w:p>
    <w:p>
      <w:pPr>
        <w:pStyle w:val="style0"/>
        <w:spacing w:line="100" w:lineRule="atLeast"/>
        <w:jc w:val="both"/>
      </w:pPr>
      <w:r>
        <w:rPr/>
      </w:r>
    </w:p>
    <w:p>
      <w:pPr>
        <w:pStyle w:val="style0"/>
        <w:spacing w:line="100" w:lineRule="atLeast"/>
        <w:jc w:val="both"/>
      </w:pPr>
      <w:r>
        <w:rPr>
          <w:lang w:val="mn-MN"/>
        </w:rPr>
        <w:tab/>
        <w:tab/>
        <w:tab/>
        <w:t>Аюулгүй байдал, гадаад бодлогын байнгын хорооны</w:t>
      </w:r>
    </w:p>
    <w:p>
      <w:pPr>
        <w:pStyle w:val="style0"/>
        <w:spacing w:line="100" w:lineRule="atLeast"/>
        <w:jc w:val="both"/>
      </w:pPr>
      <w:r>
        <w:rPr>
          <w:lang w:val="mn-MN"/>
        </w:rPr>
        <w:tab/>
        <w:tab/>
        <w:tab/>
        <w:tab/>
        <w:tab/>
        <w:tab/>
        <w:t xml:space="preserve"> Ажлын алба</w:t>
      </w:r>
    </w:p>
    <w:p>
      <w:pPr>
        <w:pStyle w:val="style0"/>
        <w:spacing w:line="100" w:lineRule="atLeast"/>
        <w:jc w:val="both"/>
      </w:pPr>
      <w:r>
        <w:rPr/>
      </w:r>
    </w:p>
    <w:p>
      <w:pPr>
        <w:pStyle w:val="style0"/>
        <w:spacing w:line="100" w:lineRule="atLeast"/>
        <w:jc w:val="both"/>
      </w:pPr>
      <w:r>
        <w:rPr>
          <w:lang w:val="mn-MN"/>
        </w:rPr>
        <w:br/>
      </w:r>
    </w:p>
    <w:p>
      <w:pPr>
        <w:pStyle w:val="style0"/>
        <w:spacing w:line="100" w:lineRule="atLeast"/>
        <w:jc w:val="both"/>
      </w:pPr>
      <w:r>
        <w:rPr/>
      </w:r>
    </w:p>
    <w:sectPr>
      <w:type w:val="nextPage"/>
      <w:pgSz w:h="15840" w:w="12240"/>
      <w:pgMar w:bottom="1050" w:footer="0" w:gutter="0" w:header="0" w:left="1740" w:right="795" w:top="855"/>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w:charset w:val="80"/>
    <w:family w:val="swiss"/>
    <w:pitch w:val="default"/>
  </w:font>
</w:font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Arial" w:hAnsi="Arial"/>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character">
    <w:name w:val="Bullets"/>
    <w:next w:val="style16"/>
    <w:rPr>
      <w:rFonts w:ascii="OpenSymbol" w:cs="OpenSymbol" w:eastAsia="OpenSymbol" w:hAnsi="OpenSymbol"/>
    </w:rPr>
  </w:style>
  <w:style w:styleId="style17" w:type="character">
    <w:name w:val="Footnote anchor"/>
    <w:next w:val="style17"/>
    <w:rPr>
      <w:vertAlign w:val="superscript"/>
    </w:rPr>
  </w:style>
  <w:style w:styleId="style18" w:type="paragraph">
    <w:name w:val="Heading"/>
    <w:basedOn w:val="style0"/>
    <w:next w:val="style19"/>
    <w:pPr>
      <w:keepNext/>
      <w:spacing w:after="120" w:before="240"/>
    </w:pPr>
    <w:rPr>
      <w:rFonts w:ascii="Arial" w:cs="Mangal" w:eastAsia="Arial" w:hAnsi="Arial"/>
      <w:sz w:val="28"/>
      <w:szCs w:val="28"/>
    </w:rPr>
  </w:style>
  <w:style w:styleId="style19" w:type="paragraph">
    <w:name w:val="Text body"/>
    <w:basedOn w:val="style0"/>
    <w:next w:val="style19"/>
    <w:pPr>
      <w:spacing w:after="120" w:before="0"/>
    </w:pPr>
    <w:rPr/>
  </w:style>
  <w:style w:styleId="style20" w:type="paragraph">
    <w:name w:val="List"/>
    <w:basedOn w:val="style19"/>
    <w:next w:val="style20"/>
    <w:pPr/>
    <w:rPr>
      <w:rFonts w:ascii="Arial" w:cs="Mangal" w:eastAsia="Arial" w:hAnsi="Arial"/>
    </w:rPr>
  </w:style>
  <w:style w:styleId="style21" w:type="paragraph">
    <w:name w:val="Caption"/>
    <w:basedOn w:val="style0"/>
    <w:next w:val="style21"/>
    <w:pPr>
      <w:suppressLineNumbers/>
      <w:spacing w:after="120" w:before="120"/>
    </w:pPr>
    <w:rPr>
      <w:rFonts w:ascii="Arial" w:cs="Mangal" w:eastAsia="Arial" w:hAnsi="Arial"/>
      <w:i/>
      <w:iCs/>
      <w:sz w:val="24"/>
      <w:szCs w:val="24"/>
    </w:rPr>
  </w:style>
  <w:style w:styleId="style22" w:type="paragraph">
    <w:name w:val="Index"/>
    <w:basedOn w:val="style0"/>
    <w:next w:val="style22"/>
    <w:pPr>
      <w:suppressLineNumbers/>
    </w:pPr>
    <w:rPr>
      <w:rFonts w:ascii="Arial" w:cs="Mangal" w:eastAsia="Arial" w:hAnsi="Arial"/>
    </w:rPr>
  </w:style>
  <w:style w:styleId="style23" w:type="paragraph">
    <w:name w:val="Default Style"/>
    <w:next w:val="style23"/>
    <w:pPr>
      <w:widowControl w:val="false"/>
      <w:tabs/>
      <w:suppressAutoHyphens w:val="true"/>
      <w:overflowPunct w:val="false"/>
    </w:pPr>
    <w:rPr>
      <w:rFonts w:ascii="Arial" w:cs="Mangal" w:eastAsia="SimSun" w:hAnsi="Arial"/>
      <w:color w:val="00000A"/>
      <w:sz w:val="24"/>
      <w:szCs w:val="24"/>
      <w:lang w:bidi="hi-IN" w:eastAsia="zh-CN" w:val="en-US"/>
    </w:rPr>
  </w:style>
  <w:style w:styleId="style24" w:type="paragraph">
    <w:name w:val="Footnote"/>
    <w:basedOn w:val="style0"/>
    <w:next w:val="style24"/>
    <w:pPr>
      <w:suppressLineNumbers/>
      <w:ind w:hanging="339" w:left="339" w:right="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420" TargetMode="External"/><Relationship Id="rId3" Type="http://schemas.openxmlformats.org/officeDocument/2006/relationships/hyperlink" Target="http://www.parliament.mn/polls" TargetMode="Externa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2013-06-19T15:31:13.20Z</dcterms:created>
  <cp:lastPrinted>2014-07-07T13:49:53.00Z</cp:lastPrinted>
  <dcterms:modified xsi:type="dcterms:W3CDTF">2014-06-12T18:05:01.00Z</dcterms:modified>
  <cp:revision>0</cp:revision>
</cp:coreProperties>
</file>