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spacing w:after="0" w:before="0"/>
        <w:contextualSpacing w:val="false"/>
        <w:jc w:val="center"/>
      </w:pPr>
      <w:r>
        <w:rPr>
          <w:rFonts w:ascii="Arial" w:hAnsi="Arial"/>
          <w:b/>
          <w:shd w:fill="FFFFFF" w:val="clear"/>
          <w:lang w:val="mn-MN"/>
        </w:rPr>
        <w:t>МОНГОЛ УЛСЫН ИХ ХУРЛЫН 201</w:t>
      </w:r>
      <w:r>
        <w:rPr>
          <w:rFonts w:ascii="Arial" w:hAnsi="Arial"/>
          <w:b/>
          <w:shd w:fill="FFFFFF" w:val="clear"/>
          <w:lang w:val="mn-MN"/>
        </w:rPr>
        <w:t>9</w:t>
      </w:r>
      <w:r>
        <w:rPr>
          <w:rFonts w:ascii="Arial" w:hAnsi="Arial"/>
          <w:b/>
          <w:shd w:fill="FFFFFF" w:val="clear"/>
          <w:lang w:val="mn-MN"/>
        </w:rPr>
        <w:t xml:space="preserve"> ОНЫ НАМРЫН ЭЭЛЖИТ ЧУУЛГАНЫ</w:t>
      </w:r>
    </w:p>
    <w:p>
      <w:pPr>
        <w:pStyle w:val="style20"/>
        <w:spacing w:after="0" w:before="0"/>
        <w:contextualSpacing w:val="false"/>
        <w:jc w:val="center"/>
      </w:pPr>
      <w:r>
        <w:rPr>
          <w:rFonts w:ascii="Arial" w:hAnsi="Arial"/>
          <w:b/>
          <w:shd w:fill="FFFFFF" w:val="clear"/>
          <w:lang w:val="mn-MN"/>
        </w:rPr>
        <w:t xml:space="preserve">НИЙГМИЙН БОДЛОГО, БОЛОВСРОЛ, СОЁЛ, ШИНЖЛЭХ УХААНЫ </w:t>
      </w:r>
    </w:p>
    <w:p>
      <w:pPr>
        <w:pStyle w:val="style20"/>
        <w:spacing w:after="0" w:before="0"/>
        <w:contextualSpacing w:val="false"/>
        <w:jc w:val="center"/>
      </w:pPr>
      <w:r>
        <w:rPr>
          <w:rFonts w:ascii="Arial" w:hAnsi="Arial"/>
          <w:b/>
          <w:lang w:val="mn-MN"/>
        </w:rPr>
        <w:t xml:space="preserve">БАЙНГЫН ХОРООНЫ </w:t>
      </w:r>
      <w:r>
        <w:rPr>
          <w:rFonts w:ascii="Arial" w:hAnsi="Arial"/>
          <w:b/>
          <w:lang w:val="mn-MN"/>
        </w:rPr>
        <w:t xml:space="preserve">10 </w:t>
      </w:r>
      <w:r>
        <w:rPr>
          <w:rFonts w:ascii="Arial" w:hAnsi="Arial"/>
          <w:b/>
          <w:lang w:val="mn-MN"/>
        </w:rPr>
        <w:t xml:space="preserve">ДУГААР САРЫН 02-НЫ ӨДӨР </w:t>
      </w:r>
    </w:p>
    <w:p>
      <w:pPr>
        <w:pStyle w:val="style20"/>
        <w:spacing w:after="0" w:before="0"/>
        <w:contextualSpacing w:val="false"/>
        <w:jc w:val="center"/>
      </w:pPr>
      <w:r>
        <w:rPr>
          <w:rFonts w:ascii="Arial" w:hAnsi="Arial"/>
          <w:b/>
          <w:lang w:val="mn-MN"/>
        </w:rPr>
        <w:t>/</w:t>
      </w:r>
      <w:r>
        <w:rPr>
          <w:rFonts w:ascii="Arial" w:hAnsi="Arial"/>
          <w:b/>
          <w:lang w:val="mn-MN"/>
        </w:rPr>
        <w:t>ЛХАГВА</w:t>
      </w:r>
      <w:r>
        <w:rPr>
          <w:rFonts w:ascii="Arial" w:hAnsi="Arial"/>
          <w:b/>
          <w:lang w:val="mn-MN"/>
        </w:rPr>
        <w:t xml:space="preserve"> ГАРАГ/-ИЙН ХУРАЛДААНЫ ТЭМДЭГЛЭЛИЙН ТОВЬЁГ </w:t>
      </w:r>
    </w:p>
    <w:p>
      <w:pPr>
        <w:pStyle w:val="style20"/>
        <w:jc w:val="center"/>
      </w:pPr>
      <w:r>
        <w:rPr/>
      </w:r>
    </w:p>
    <w:tbl>
      <w:tblPr>
        <w:jc w:val="left"/>
        <w:tblInd w:type="dxa" w:w="-160"/>
        <w:tblBorders>
          <w:top w:color="000001" w:space="0" w:sz="8" w:val="single"/>
          <w:left w:color="000001" w:space="0" w:sz="8" w:val="single"/>
          <w:bottom w:color="000001" w:space="0" w:sz="8" w:val="single"/>
        </w:tblBorders>
      </w:tblPr>
      <w:tblGrid>
        <w:gridCol w:w="771"/>
        <w:gridCol w:w="6771"/>
        <w:gridCol w:w="1566"/>
      </w:tblGrid>
      <w:tr>
        <w:trPr>
          <w:cantSplit w:val="false"/>
        </w:trPr>
        <w:tc>
          <w:tcPr>
            <w:tcW w:type="dxa" w:w="771"/>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6"/>
              <w:jc w:val="center"/>
            </w:pPr>
            <w:r>
              <w:rPr>
                <w:rFonts w:ascii="Arial" w:hAnsi="Arial"/>
                <w:color w:val="000000"/>
              </w:rPr>
              <w:t>№</w:t>
            </w:r>
          </w:p>
        </w:tc>
        <w:tc>
          <w:tcPr>
            <w:tcW w:type="dxa" w:w="6771"/>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6"/>
              <w:jc w:val="center"/>
            </w:pPr>
            <w:r>
              <w:rPr>
                <w:rFonts w:ascii="Arial" w:hAnsi="Arial"/>
                <w:b/>
                <w:i/>
                <w:color w:val="000000"/>
                <w:lang w:val="mn-MN"/>
              </w:rPr>
              <w:t>Баримтын агуулга</w:t>
            </w:r>
          </w:p>
        </w:tc>
        <w:tc>
          <w:tcPr>
            <w:tcW w:type="dxa" w:w="1566"/>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6"/>
              <w:jc w:val="center"/>
            </w:pPr>
            <w:r>
              <w:rPr>
                <w:rFonts w:ascii="Arial" w:hAnsi="Arial"/>
                <w:b/>
                <w:i/>
                <w:color w:val="000000"/>
                <w:lang w:val="mn-MN"/>
              </w:rPr>
              <w:t>Хуудасны дугаар</w:t>
            </w:r>
          </w:p>
        </w:tc>
      </w:tr>
      <w:tr>
        <w:trPr>
          <w:cantSplit w:val="false"/>
        </w:trPr>
        <w:tc>
          <w:tcPr>
            <w:tcW w:type="dxa" w:w="771"/>
            <w:tcBorders>
              <w:left w:color="000001" w:space="0" w:sz="8" w:val="single"/>
              <w:bottom w:color="000001" w:space="0" w:sz="8" w:val="single"/>
            </w:tcBorders>
            <w:shd w:fill="FFFFFF" w:val="clear"/>
            <w:tcMar>
              <w:top w:type="dxa" w:w="0"/>
              <w:left w:type="dxa" w:w="108"/>
              <w:bottom w:type="dxa" w:w="0"/>
              <w:right w:type="dxa" w:w="108"/>
            </w:tcMar>
          </w:tcPr>
          <w:p>
            <w:pPr>
              <w:pStyle w:val="style26"/>
              <w:jc w:val="center"/>
            </w:pPr>
            <w:r>
              <w:rPr>
                <w:rFonts w:ascii="Arial" w:hAnsi="Arial"/>
                <w:color w:val="000000"/>
                <w:lang w:val="mn-MN"/>
              </w:rPr>
              <w:t>1.</w:t>
            </w:r>
          </w:p>
        </w:tc>
        <w:tc>
          <w:tcPr>
            <w:tcW w:type="dxa" w:w="6771"/>
            <w:tcBorders>
              <w:left w:color="000001" w:space="0" w:sz="8" w:val="single"/>
              <w:bottom w:color="000001" w:space="0" w:sz="8" w:val="single"/>
            </w:tcBorders>
            <w:shd w:fill="FFFFFF" w:val="clear"/>
            <w:tcMar>
              <w:top w:type="dxa" w:w="0"/>
              <w:left w:type="dxa" w:w="108"/>
              <w:bottom w:type="dxa" w:w="0"/>
              <w:right w:type="dxa" w:w="108"/>
            </w:tcMar>
          </w:tcPr>
          <w:p>
            <w:pPr>
              <w:pStyle w:val="style26"/>
            </w:pPr>
            <w:r>
              <w:rPr>
                <w:rFonts w:ascii="Arial" w:hAnsi="Arial"/>
                <w:color w:val="000000"/>
                <w:lang w:val="mn-MN"/>
              </w:rPr>
              <w:t>Хуралдааны товч тэмдэглэл</w:t>
            </w:r>
          </w:p>
        </w:tc>
        <w:tc>
          <w:tcPr>
            <w:tcW w:type="dxa" w:w="1566"/>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6"/>
              <w:jc w:val="center"/>
            </w:pPr>
            <w:r>
              <w:rPr>
                <w:rFonts w:ascii="Arial" w:cs="Arial" w:hAnsi="Arial"/>
                <w:lang w:val="mn-MN"/>
              </w:rPr>
              <w:t>1-2</w:t>
            </w:r>
          </w:p>
        </w:tc>
      </w:tr>
      <w:tr>
        <w:trPr>
          <w:cantSplit w:val="false"/>
        </w:trPr>
        <w:tc>
          <w:tcPr>
            <w:tcW w:type="dxa" w:w="771"/>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6"/>
              <w:jc w:val="center"/>
            </w:pPr>
            <w:r>
              <w:rPr>
                <w:rFonts w:ascii="Arial" w:hAnsi="Arial"/>
                <w:color w:val="000000"/>
                <w:lang w:val="mn-MN"/>
              </w:rPr>
              <w:t>2.</w:t>
            </w:r>
          </w:p>
        </w:tc>
        <w:tc>
          <w:tcPr>
            <w:tcW w:type="dxa" w:w="6771"/>
            <w:tcBorders>
              <w:left w:color="000001" w:space="0" w:sz="8" w:val="single"/>
              <w:bottom w:color="000001" w:space="0" w:sz="8" w:val="single"/>
            </w:tcBorders>
            <w:shd w:fill="FFFFFF" w:val="clear"/>
            <w:tcMar>
              <w:top w:type="dxa" w:w="0"/>
              <w:left w:type="dxa" w:w="108"/>
              <w:bottom w:type="dxa" w:w="0"/>
              <w:right w:type="dxa" w:w="108"/>
            </w:tcMar>
          </w:tcPr>
          <w:p>
            <w:pPr>
              <w:pStyle w:val="style26"/>
            </w:pPr>
            <w:r>
              <w:rPr>
                <w:rFonts w:ascii="Arial" w:hAnsi="Arial"/>
                <w:color w:val="000000"/>
                <w:lang w:val="mn-MN"/>
              </w:rPr>
              <w:t>Дэлгэрэнгүй тэмдэглэл</w:t>
            </w:r>
          </w:p>
        </w:tc>
        <w:tc>
          <w:tcPr>
            <w:tcW w:type="dxa" w:w="1566"/>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6"/>
              <w:jc w:val="center"/>
            </w:pPr>
            <w:r>
              <w:rPr>
                <w:rFonts w:ascii="Arial" w:cs="Arial" w:hAnsi="Arial"/>
                <w:lang w:val="mn-MN"/>
              </w:rPr>
              <w:t>3-10</w:t>
            </w:r>
          </w:p>
        </w:tc>
      </w:tr>
      <w:tr>
        <w:trPr>
          <w:cantSplit w:val="false"/>
        </w:trPr>
        <w:tc>
          <w:tcPr>
            <w:tcW w:type="dxa" w:w="771"/>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6"/>
            </w:pPr>
            <w:r>
              <w:rPr/>
            </w:r>
          </w:p>
        </w:tc>
        <w:tc>
          <w:tcPr>
            <w:tcW w:type="dxa" w:w="6771"/>
            <w:tcBorders>
              <w:left w:color="000001" w:space="0" w:sz="8" w:val="single"/>
              <w:bottom w:color="000001" w:space="0" w:sz="8" w:val="single"/>
            </w:tcBorders>
            <w:shd w:fill="FFFFFF" w:val="clear"/>
            <w:tcMar>
              <w:top w:type="dxa" w:w="0"/>
              <w:left w:type="dxa" w:w="108"/>
              <w:bottom w:type="dxa" w:w="0"/>
              <w:right w:type="dxa" w:w="108"/>
            </w:tcMar>
          </w:tcPr>
          <w:p>
            <w:pPr>
              <w:pStyle w:val="style20"/>
              <w:spacing w:after="0" w:before="0" w:line="200" w:lineRule="atLeast"/>
              <w:contextualSpacing w:val="false"/>
              <w:jc w:val="both"/>
            </w:pPr>
            <w:r>
              <w:rPr>
                <w:rFonts w:ascii="Arial" w:hAnsi="Arial"/>
                <w:b w:val="false"/>
                <w:bCs w:val="false"/>
                <w:color w:val="000000"/>
                <w:sz w:val="24"/>
                <w:szCs w:val="24"/>
                <w:lang w:val="mn-MN"/>
              </w:rPr>
              <w:t xml:space="preserve">1. </w:t>
            </w:r>
            <w:r>
              <w:rPr>
                <w:rFonts w:ascii="Arial" w:hAnsi="Arial"/>
                <w:b w:val="false"/>
                <w:bCs w:val="false"/>
                <w:i w:val="false"/>
                <w:iCs w:val="false"/>
                <w:color w:val="000000"/>
                <w:sz w:val="24"/>
                <w:szCs w:val="24"/>
                <w:lang w:val="mn-MN"/>
              </w:rPr>
              <w:t>“</w:t>
            </w:r>
            <w:r>
              <w:rPr>
                <w:rFonts w:ascii="Arial" w:cs="Arial" w:hAnsi="Arial"/>
                <w:b w:val="false"/>
                <w:bCs w:val="false"/>
                <w:i w:val="false"/>
                <w:iCs w:val="false"/>
                <w:color w:val="000000"/>
                <w:sz w:val="24"/>
                <w:szCs w:val="24"/>
                <w:lang w:val="mn-MN"/>
              </w:rPr>
              <w:t>Монгол Улсын  2018 оны гүйцэтгэлийг батлах тухай”  Улсын Их Хурлын тогтоолын төсөл /Засгийн газар 2019.06.12-ны өдөр өргөн мэдүүлсэн, хоёр дахь хэлэлцүүлэг, санал, дүгнэлтээ Төсвийн зарлагын хяналтын дэд хороонд хүргүүлнэ/</w:t>
            </w:r>
          </w:p>
        </w:tc>
        <w:tc>
          <w:tcPr>
            <w:tcW w:type="dxa" w:w="1566"/>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6"/>
              <w:jc w:val="center"/>
            </w:pPr>
            <w:r>
              <w:rPr/>
            </w:r>
          </w:p>
          <w:p>
            <w:pPr>
              <w:pStyle w:val="style26"/>
              <w:jc w:val="center"/>
            </w:pPr>
            <w:r>
              <w:rPr/>
            </w:r>
          </w:p>
          <w:p>
            <w:pPr>
              <w:pStyle w:val="style26"/>
              <w:jc w:val="center"/>
            </w:pPr>
            <w:r>
              <w:rPr/>
            </w:r>
          </w:p>
          <w:p>
            <w:pPr>
              <w:pStyle w:val="style26"/>
              <w:jc w:val="center"/>
            </w:pPr>
            <w:r>
              <w:rPr>
                <w:rFonts w:ascii="Arial" w:cs="Arial" w:hAnsi="Arial"/>
                <w:lang w:val="mn-MN"/>
              </w:rPr>
              <w:t>3-10</w:t>
            </w:r>
          </w:p>
        </w:tc>
      </w:tr>
    </w:tbl>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bookmarkStart w:id="0" w:name="__DdeLink__3632_1066687016"/>
      <w:bookmarkEnd w:id="0"/>
      <w:r>
        <w:rPr>
          <w:rFonts w:ascii="Arial" w:hAnsi="Arial"/>
          <w:b/>
          <w:i/>
          <w:lang w:val="mn-MN"/>
        </w:rPr>
        <w:t>Монгол Улсын Их Хурлын 2019 оны намрын ээлжит чуулганы</w:t>
      </w:r>
    </w:p>
    <w:p>
      <w:pPr>
        <w:pStyle w:val="style20"/>
        <w:spacing w:after="0" w:before="0"/>
        <w:contextualSpacing w:val="false"/>
        <w:jc w:val="center"/>
      </w:pPr>
      <w:r>
        <w:rPr>
          <w:rFonts w:ascii="Arial" w:hAnsi="Arial"/>
          <w:b/>
          <w:i/>
          <w:lang w:val="mn-MN"/>
        </w:rPr>
        <w:t>Нийгмийн бодлого, боловсрол, соёл, шинжлэх ухааны</w:t>
      </w:r>
    </w:p>
    <w:p>
      <w:pPr>
        <w:pStyle w:val="style20"/>
        <w:spacing w:after="0" w:before="0"/>
        <w:contextualSpacing w:val="false"/>
        <w:jc w:val="center"/>
      </w:pPr>
      <w:r>
        <w:rPr>
          <w:rFonts w:ascii="Arial" w:hAnsi="Arial"/>
          <w:b/>
          <w:i/>
          <w:lang w:val="mn-MN"/>
        </w:rPr>
        <w:t>байнгын хорооны 10 дугаар сарын 02-ны өдөр</w:t>
      </w:r>
    </w:p>
    <w:p>
      <w:pPr>
        <w:pStyle w:val="style20"/>
        <w:spacing w:after="0" w:before="0"/>
        <w:contextualSpacing w:val="false"/>
        <w:jc w:val="center"/>
      </w:pPr>
      <w:r>
        <w:rPr>
          <w:rFonts w:ascii="Arial" w:hAnsi="Arial"/>
        </w:rPr>
        <w:t xml:space="preserve"> </w:t>
      </w:r>
      <w:r>
        <w:rPr>
          <w:rFonts w:ascii="Arial" w:hAnsi="Arial"/>
          <w:b/>
          <w:i/>
          <w:lang w:val="mn-MN"/>
        </w:rPr>
        <w:t>/Лхагва гараг/-ийн хуралдааны товч тэмдэглэл</w:t>
      </w:r>
    </w:p>
    <w:p>
      <w:pPr>
        <w:pStyle w:val="style20"/>
        <w:spacing w:after="0" w:before="0"/>
        <w:contextualSpacing w:val="false"/>
      </w:pPr>
      <w:r>
        <w:rPr/>
      </w:r>
    </w:p>
    <w:p>
      <w:pPr>
        <w:pStyle w:val="style20"/>
        <w:spacing w:after="0" w:before="0"/>
        <w:contextualSpacing w:val="false"/>
      </w:pPr>
      <w:r>
        <w:rPr/>
      </w:r>
    </w:p>
    <w:p>
      <w:pPr>
        <w:pStyle w:val="style20"/>
        <w:spacing w:after="0" w:before="0"/>
        <w:contextualSpacing w:val="false"/>
        <w:jc w:val="both"/>
      </w:pPr>
      <w:bookmarkStart w:id="1" w:name="__UnoMark__11151_2131316772"/>
      <w:bookmarkEnd w:id="1"/>
      <w:r>
        <w:rPr>
          <w:rFonts w:ascii="Arial" w:hAnsi="Arial"/>
          <w:lang w:val="mn-MN"/>
        </w:rPr>
        <w:tab/>
        <w:t>Улсын Их Хурлын гишүүн Ц.Цогзолмаа ирц, хэлэлцэх асуудлын дарааллыг танилцуулж, хуралдааныг даргалав.</w:t>
      </w:r>
    </w:p>
    <w:p>
      <w:pPr>
        <w:pStyle w:val="style20"/>
        <w:spacing w:after="0" w:before="0"/>
        <w:contextualSpacing w:val="false"/>
        <w:jc w:val="both"/>
      </w:pPr>
      <w:r>
        <w:rPr/>
      </w:r>
    </w:p>
    <w:p>
      <w:pPr>
        <w:pStyle w:val="style20"/>
        <w:spacing w:after="0" w:before="0"/>
        <w:contextualSpacing w:val="false"/>
        <w:jc w:val="both"/>
      </w:pPr>
      <w:r>
        <w:rPr>
          <w:rFonts w:ascii="Arial" w:hAnsi="Arial"/>
          <w:i/>
          <w:lang w:val="mn-MN"/>
        </w:rPr>
        <w:tab/>
        <w:t xml:space="preserve">Хуралдаанд ирвэл зохих 19 гишүүнээс 10 гишүүн ирж, 52.6 хувийн ирцтэйгээр хуралдаан 14 цаг 46 минутад Төрийн ордны “Жанжин Д.Сүхбаатар” танхимд эхлэв. </w:t>
      </w:r>
    </w:p>
    <w:p>
      <w:pPr>
        <w:pStyle w:val="style20"/>
        <w:spacing w:after="0" w:before="0"/>
        <w:contextualSpacing w:val="false"/>
        <w:jc w:val="both"/>
      </w:pPr>
      <w:r>
        <w:rPr/>
      </w:r>
    </w:p>
    <w:p>
      <w:pPr>
        <w:pStyle w:val="style20"/>
        <w:spacing w:after="0" w:before="0"/>
        <w:contextualSpacing w:val="false"/>
        <w:jc w:val="both"/>
      </w:pPr>
      <w:r>
        <w:rPr>
          <w:rFonts w:ascii="Arial" w:hAnsi="Arial"/>
          <w:i/>
          <w:color w:val="000000"/>
          <w:lang w:val="mn-MN"/>
        </w:rPr>
        <w:tab/>
        <w:t>Чөлөөтэй: Д.Ганболд, Д.Оюунхорол, Б.Ундармаа, Н.Номтойбаяр, Ц.Мөнх-Оргил,  Л.Энх-Амгалан, С.Эрдэнэ, Я.Санжмятав;</w:t>
      </w:r>
    </w:p>
    <w:p>
      <w:pPr>
        <w:pStyle w:val="style20"/>
        <w:spacing w:after="0" w:before="0"/>
        <w:contextualSpacing w:val="false"/>
        <w:jc w:val="both"/>
      </w:pPr>
      <w:r>
        <w:rPr/>
      </w:r>
    </w:p>
    <w:p>
      <w:pPr>
        <w:pStyle w:val="style20"/>
        <w:spacing w:after="0" w:before="0"/>
        <w:contextualSpacing w:val="false"/>
        <w:jc w:val="both"/>
      </w:pPr>
      <w:r>
        <w:rPr>
          <w:rFonts w:ascii="Arial" w:hAnsi="Arial"/>
          <w:i/>
          <w:color w:val="000000"/>
          <w:lang w:val="mn-MN"/>
        </w:rPr>
        <w:tab/>
        <w:t>Эмнэлгийн чөлөөтэй: Н.Учрал.</w:t>
      </w:r>
    </w:p>
    <w:p>
      <w:pPr>
        <w:pStyle w:val="style20"/>
        <w:spacing w:after="0" w:before="0"/>
        <w:contextualSpacing w:val="false"/>
        <w:jc w:val="both"/>
      </w:pPr>
      <w:r>
        <w:rPr>
          <w:rFonts w:ascii="Arial" w:hAnsi="Arial"/>
          <w:i/>
          <w:color w:val="000000"/>
          <w:lang w:val="mn-MN"/>
        </w:rPr>
        <w:tab/>
      </w:r>
      <w:r>
        <w:rPr>
          <w:rFonts w:ascii="Arial" w:hAnsi="Arial"/>
          <w:sz w:val="24"/>
          <w:szCs w:val="24"/>
          <w:lang w:val="mn-MN"/>
        </w:rPr>
        <w:t xml:space="preserve"> </w:t>
        <w:tab/>
      </w:r>
    </w:p>
    <w:p>
      <w:pPr>
        <w:pStyle w:val="style20"/>
        <w:spacing w:after="0" w:before="0" w:line="200" w:lineRule="atLeast"/>
        <w:contextualSpacing w:val="false"/>
        <w:jc w:val="both"/>
      </w:pPr>
      <w:r>
        <w:rPr>
          <w:rFonts w:ascii="Arial" w:hAnsi="Arial"/>
          <w:b w:val="false"/>
          <w:bCs w:val="false"/>
          <w:color w:val="000000"/>
          <w:sz w:val="24"/>
          <w:szCs w:val="24"/>
          <w:lang w:val="mn-MN"/>
        </w:rPr>
        <w:tab/>
      </w:r>
      <w:r>
        <w:rPr>
          <w:rFonts w:ascii="Arial" w:hAnsi="Arial"/>
          <w:b/>
          <w:bCs/>
          <w:i/>
          <w:iCs/>
          <w:color w:val="000000"/>
          <w:sz w:val="24"/>
          <w:szCs w:val="24"/>
          <w:lang w:val="mn-MN"/>
        </w:rPr>
        <w:t>Нэг</w:t>
      </w:r>
      <w:r>
        <w:rPr>
          <w:rFonts w:ascii="Arial" w:hAnsi="Arial"/>
          <w:b w:val="false"/>
          <w:bCs w:val="false"/>
          <w:color w:val="000000"/>
          <w:sz w:val="24"/>
          <w:szCs w:val="24"/>
          <w:lang w:val="mn-MN"/>
        </w:rPr>
        <w:t>. “</w:t>
      </w:r>
      <w:r>
        <w:rPr>
          <w:rFonts w:ascii="Arial" w:cs="Arial" w:hAnsi="Arial"/>
          <w:b/>
          <w:bCs w:val="false"/>
          <w:i/>
          <w:color w:val="000000"/>
          <w:sz w:val="24"/>
          <w:szCs w:val="24"/>
          <w:lang w:val="mn-MN"/>
        </w:rPr>
        <w:t>Монгол Улсын  2018 оны гүйцэтгэлийг батлах тухай”  Улсын Их Хурлын тогтоолын төсөл /</w:t>
      </w:r>
      <w:r>
        <w:rPr>
          <w:rFonts w:ascii="Arial" w:cs="Arial" w:hAnsi="Arial"/>
          <w:b w:val="false"/>
          <w:bCs w:val="false"/>
          <w:i/>
          <w:color w:val="000000"/>
          <w:sz w:val="24"/>
          <w:szCs w:val="24"/>
          <w:lang w:val="mn-MN"/>
        </w:rPr>
        <w:t xml:space="preserve">Засгийн газар 2019.06.12-ны өдөр өргөн мэдүүлсэн, </w:t>
      </w:r>
      <w:r>
        <w:rPr>
          <w:rFonts w:ascii="Arial" w:cs="Arial" w:hAnsi="Arial"/>
          <w:b/>
          <w:bCs/>
          <w:i/>
          <w:color w:val="000000"/>
          <w:sz w:val="24"/>
          <w:szCs w:val="24"/>
          <w:lang w:val="mn-MN"/>
        </w:rPr>
        <w:t>хоёр дахь хэлэлцүүлэг</w:t>
      </w:r>
      <w:r>
        <w:rPr>
          <w:rFonts w:ascii="Arial" w:cs="Arial" w:hAnsi="Arial"/>
          <w:b w:val="false"/>
          <w:bCs w:val="false"/>
          <w:i/>
          <w:color w:val="000000"/>
          <w:sz w:val="24"/>
          <w:szCs w:val="24"/>
          <w:lang w:val="mn-MN"/>
        </w:rPr>
        <w:t>, санал, дүгнэлтээ Төсвийн зарлагын хяналтын дэд хороонд хүргүүлнэ/</w:t>
      </w:r>
    </w:p>
    <w:p>
      <w:pPr>
        <w:pStyle w:val="style20"/>
        <w:spacing w:after="0" w:before="0" w:line="200" w:lineRule="atLeast"/>
        <w:contextualSpacing w:val="false"/>
        <w:jc w:val="center"/>
      </w:pPr>
      <w:r>
        <w:rPr/>
      </w:r>
    </w:p>
    <w:p>
      <w:pPr>
        <w:pStyle w:val="style20"/>
        <w:spacing w:after="0" w:before="0" w:line="200" w:lineRule="atLeast"/>
        <w:contextualSpacing w:val="false"/>
        <w:jc w:val="both"/>
      </w:pPr>
      <w:r>
        <w:rPr>
          <w:b w:val="false"/>
          <w:bCs w:val="false"/>
        </w:rPr>
        <w:tab/>
      </w:r>
      <w:r>
        <w:rPr>
          <w:rFonts w:ascii="Arial" w:hAnsi="Arial"/>
          <w:b w:val="false"/>
          <w:bCs w:val="false"/>
          <w:lang w:val="mn-MN"/>
        </w:rPr>
        <w:t xml:space="preserve">Хэлэлцэж буй асуудалтай холбогдуулан  </w:t>
      </w:r>
      <w:r>
        <w:rPr>
          <w:rFonts w:ascii="Arial" w:hAnsi="Arial"/>
          <w:b w:val="false"/>
          <w:bCs w:val="false"/>
          <w:sz w:val="24"/>
          <w:szCs w:val="24"/>
          <w:lang w:val="mn-MN"/>
        </w:rPr>
        <w:t xml:space="preserve">Сангийн сайд Ч.Хүрэлбаатар, </w:t>
      </w:r>
      <w:r>
        <w:rPr>
          <w:rFonts w:ascii="Arial" w:cs="Arial" w:hAnsi="Arial"/>
          <w:b w:val="false"/>
          <w:bCs w:val="false"/>
          <w:i w:val="false"/>
          <w:iCs w:val="false"/>
          <w:color w:val="000000"/>
          <w:sz w:val="24"/>
          <w:szCs w:val="24"/>
          <w:shd w:fill="FFFFFF" w:val="clear"/>
          <w:lang w:val="mn-MN"/>
        </w:rPr>
        <w:t xml:space="preserve">Нийгмийн хамгаалал, хөдөлмөрийн сайд С.Чинзориг,  Боловсрол, соёл, шинжлэх ухаан, спортын сайд Ё.Баатарбилэг, Эрүүл мэндийн дэд сайд Бямбасүрэн, </w:t>
      </w:r>
      <w:r>
        <w:rPr>
          <w:rFonts w:ascii="Arial" w:hAnsi="Arial"/>
          <w:b w:val="false"/>
          <w:bCs w:val="false"/>
          <w:sz w:val="24"/>
          <w:szCs w:val="24"/>
          <w:lang w:val="mn-MN"/>
        </w:rPr>
        <w:t xml:space="preserve">Сангийн яамны Төрийн сангийн газрын дарга М.Батхуяг, </w:t>
      </w:r>
      <w:r>
        <w:rPr>
          <w:rFonts w:ascii="Arial" w:cs="Arial" w:hAnsi="Arial"/>
          <w:b w:val="false"/>
          <w:bCs w:val="false"/>
          <w:i w:val="false"/>
          <w:iCs w:val="false"/>
          <w:color w:val="000000"/>
          <w:sz w:val="24"/>
          <w:szCs w:val="24"/>
          <w:shd w:fill="FFFFFF" w:val="clear"/>
          <w:lang w:val="mn-MN"/>
        </w:rPr>
        <w:t xml:space="preserve"> мөн яамны Санхүүгийн бодлогын газрын дарга Ц.Зоригтбат, Эдийн засгийн бодлогын газрын дарга Г.Батхүрэл, Төсвийн хөрөнгө оруулалтын газрын дарга Г.Түвдэндорж,  Санхүүжилт, тайлан бүртгэлийн хэлтсийн дарга Н.Мөнхсүх, </w:t>
      </w:r>
      <w:r>
        <w:rPr>
          <w:rFonts w:ascii="Arial" w:cs="Arial" w:hAnsi="Arial"/>
          <w:b w:val="false"/>
          <w:bCs w:val="false"/>
          <w:i w:val="false"/>
          <w:iCs w:val="false"/>
          <w:color w:val="333333"/>
          <w:sz w:val="24"/>
          <w:szCs w:val="24"/>
          <w:shd w:fill="FFFFFF" w:val="clear"/>
          <w:lang w:val="mn-MN"/>
        </w:rPr>
        <w:t>Монгол Улсын Ерөнхий аудиторын орлогч бөгөөд тэргүүлэх аудитор С.Оюунбилэг,   Үндэсний аудитын газрын Санхүүгийн аудитын газрын захирал бөгөөд тэргүүлэх аудитор Ц.Наранчимэг,</w:t>
      </w:r>
      <w:r>
        <w:rPr>
          <w:rFonts w:ascii="Arial" w:cs="Arial" w:hAnsi="Arial"/>
          <w:b w:val="false"/>
          <w:bCs w:val="false"/>
          <w:i w:val="false"/>
          <w:iCs w:val="false"/>
          <w:color w:val="000000"/>
          <w:sz w:val="24"/>
          <w:szCs w:val="24"/>
          <w:shd w:fill="FFFFFF" w:val="clear"/>
          <w:lang w:val="mn-MN"/>
        </w:rPr>
        <w:t xml:space="preserve"> мөн  газрын Гүйцэтгэлийн аудитын газрын захирал бөгөөд тэргүүлэх аудитор Б.Мөнх-Очир, Нийцлийн аудитын газрын захирал бөгөөд тэргүүлэх аудитор С.Энхбаатар, Үндэсний аудитын газрын Санхүүгийн аудитын газрын аудитын менежер Я.Самбууням, Г.Гүнжидмаа, Г.Оюунгэрэл, Д.Хаш-Эрдэнэ,  Б.Саруул, Б.Долгорсүрэн, Нийгмийн хамгаалал, хөдөлмөрийн яамны төсвийн ерөнхийлөн захирагчийн Төсвийн ерөнхий нягтлан бодогч Ц.Эрдэнэтөгс, Хөдөлмөр, халамжийн үйлчилгээний ерөнхий газрын дарга Б.Нямдаваа, мөн газрын Ерөнхий нягтлан бодогч Б.Оюунбилэг, Халамжийн сангийн ахлах мэргэжилтэн Д.Билэгмаа, Нийгмийн даатгалын ерөнхий газрын дарга Д.Зоригт, мөн газрын Санхүү, бүртгэлийн газрын дарга Б.Даваахүү, Боловсрол, соёл, шинжлэх ухаан, спортын яамны Санхүү, хөрөнгө оруулалтын газрын дарга С.Нансалмаа, Үйлдвэрлэлийн хэлтсийн дарга Ч.Энх-Амгалан, Эрүүл мэндийн яамны Хөрөнгө оруулалтын хэлтсийн дарга О.Эрдэнэбулган, мөн яамны ерөнхий нягтлан бодогч Х.Отгонзул, Зээл тусламжийн бодлогын хэрэгжилт, зохицуулалт хариуцсан ахлах мэргэжилтэн Л.Бямбасүрэн, Эрүүл мэндийн даатгалын ерөнхий газрын дарга Г.Баясгалан нар оролцов. </w:t>
      </w:r>
    </w:p>
    <w:p>
      <w:pPr>
        <w:pStyle w:val="style20"/>
        <w:spacing w:after="0" w:before="0" w:line="200" w:lineRule="atLeast"/>
        <w:contextualSpacing w:val="false"/>
        <w:jc w:val="both"/>
      </w:pPr>
      <w:r>
        <w:rPr/>
      </w:r>
    </w:p>
    <w:p>
      <w:pPr>
        <w:pStyle w:val="style0"/>
        <w:spacing w:after="0" w:before="0" w:line="200" w:lineRule="atLeast"/>
        <w:contextualSpacing w:val="false"/>
        <w:jc w:val="both"/>
      </w:pPr>
      <w:r>
        <w:rPr>
          <w:rFonts w:ascii="Arial" w:cs="Arial" w:hAnsi="Arial"/>
          <w:b w:val="false"/>
          <w:bCs w:val="false"/>
          <w:i w:val="false"/>
          <w:iCs w:val="false"/>
          <w:color w:val="000000"/>
          <w:sz w:val="24"/>
          <w:szCs w:val="24"/>
          <w:shd w:fill="FFFFFF" w:val="clear"/>
          <w:lang w:val="mn-MN"/>
        </w:rPr>
        <w:tab/>
        <w:t>Хуралдаанд</w:t>
      </w:r>
      <w:r>
        <w:rPr>
          <w:rFonts w:ascii="Arial" w:cs="Arial" w:hAnsi="Arial"/>
          <w:b/>
          <w:bCs/>
          <w:i w:val="false"/>
          <w:iCs w:val="false"/>
          <w:color w:val="000000"/>
          <w:sz w:val="24"/>
          <w:szCs w:val="24"/>
          <w:shd w:fill="FFFFFF" w:val="clear"/>
          <w:lang w:val="mn-MN"/>
        </w:rPr>
        <w:t xml:space="preserve"> </w:t>
      </w:r>
      <w:r>
        <w:rPr>
          <w:rStyle w:val="style18"/>
          <w:rFonts w:ascii="Arial" w:cs="Arial" w:hAnsi="Arial"/>
          <w:b w:val="false"/>
          <w:i w:val="false"/>
          <w:iCs w:val="false"/>
          <w:color w:val="000000"/>
          <w:sz w:val="24"/>
          <w:szCs w:val="24"/>
          <w:shd w:fill="FFFFFF" w:val="clear"/>
          <w:lang w:val="mn-MN"/>
        </w:rPr>
        <w:t xml:space="preserve">Нийгмийн бодлого, боловсрол, соёл, шинжлэх ухааны байнгын хорооны ажлын албаны ахлах зөвлөх Л.Лхагвасүрэн, зөвлөх Ж.Чимгээ,  референт Б.Болортуяа нар байлцав. </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i w:val="false"/>
          <w:iCs w:val="false"/>
          <w:sz w:val="24"/>
          <w:szCs w:val="24"/>
          <w:shd w:fill="FFFFFF" w:val="clear"/>
          <w:lang w:val="mn-MN"/>
        </w:rPr>
        <w:tab/>
        <w:t>Монгол Улсын нэгдсэн төсвийн 2018 оны гүйцэтгэл, Засгийн газрын санхүүгийн нэгтгэсэн тайлангийн талаарх танилцуулгыг</w:t>
      </w:r>
      <w:r>
        <w:rPr>
          <w:rFonts w:ascii="Arial" w:hAnsi="Arial"/>
          <w:b/>
          <w:bCs/>
          <w:i/>
          <w:iCs w:val="false"/>
          <w:sz w:val="24"/>
          <w:szCs w:val="24"/>
          <w:shd w:fill="FFFFFF" w:val="clear"/>
          <w:lang w:val="mn-MN"/>
        </w:rPr>
        <w:t xml:space="preserve"> </w:t>
      </w:r>
      <w:r>
        <w:rPr>
          <w:rFonts w:ascii="Arial" w:hAnsi="Arial"/>
          <w:i w:val="false"/>
          <w:iCs w:val="false"/>
          <w:sz w:val="24"/>
          <w:szCs w:val="24"/>
          <w:shd w:fill="FFFFFF" w:val="clear"/>
          <w:lang w:val="mn-MN"/>
        </w:rPr>
        <w:t xml:space="preserve">Сангийн сайд Ч.Хүрэлбаатар, Аудитын дүгнэлтийг </w:t>
      </w:r>
      <w:r>
        <w:rPr>
          <w:rFonts w:ascii="Arial" w:cs="Arial" w:hAnsi="Arial"/>
          <w:b w:val="false"/>
          <w:bCs w:val="false"/>
          <w:i w:val="false"/>
          <w:iCs w:val="false"/>
          <w:color w:val="333333"/>
          <w:sz w:val="24"/>
          <w:szCs w:val="24"/>
          <w:shd w:fill="FFFFFF" w:val="clear"/>
          <w:lang w:val="mn-MN"/>
        </w:rPr>
        <w:t xml:space="preserve">Монгол Улсын Ерөнхий аудиторын орлогч бөгөөд тэргүүлэх аудитор С.Оюунбилэг </w:t>
      </w:r>
      <w:r>
        <w:rPr>
          <w:rFonts w:ascii="Arial" w:hAnsi="Arial"/>
          <w:i w:val="false"/>
          <w:iCs w:val="false"/>
          <w:sz w:val="24"/>
          <w:szCs w:val="24"/>
          <w:shd w:fill="FFFFFF" w:val="clear"/>
          <w:lang w:val="mn-MN"/>
        </w:rPr>
        <w:t xml:space="preserve">нар  танилцуулав. </w:t>
      </w:r>
    </w:p>
    <w:p>
      <w:pPr>
        <w:pStyle w:val="style20"/>
        <w:spacing w:after="0" w:before="0" w:line="200" w:lineRule="atLeast"/>
        <w:ind w:hanging="0" w:left="0" w:right="0"/>
        <w:contextualSpacing w:val="false"/>
        <w:jc w:val="both"/>
      </w:pPr>
      <w:r>
        <w:rPr/>
      </w:r>
    </w:p>
    <w:p>
      <w:pPr>
        <w:pStyle w:val="style20"/>
        <w:spacing w:after="0" w:before="0"/>
        <w:contextualSpacing w:val="false"/>
        <w:jc w:val="both"/>
      </w:pPr>
      <w:r>
        <w:rPr>
          <w:rFonts w:ascii="Arial" w:cs="Arial" w:hAnsi="Arial"/>
          <w:color w:val="000000"/>
          <w:sz w:val="24"/>
          <w:szCs w:val="24"/>
          <w:lang w:val="mn-MN"/>
        </w:rPr>
        <w:tab/>
        <w:t xml:space="preserve">Төслийн талаарх танилцуулга болон аудитын дүгнэлттэй холбогдуулан Улсын Их Хурлын гишүүн М.Оюунчимэгийн тавьсан асуултад </w:t>
      </w:r>
      <w:r>
        <w:rPr>
          <w:rFonts w:ascii="Arial" w:cs="Arial" w:hAnsi="Arial"/>
          <w:b w:val="false"/>
          <w:bCs w:val="false"/>
          <w:i w:val="false"/>
          <w:iCs w:val="false"/>
          <w:color w:val="000000"/>
          <w:sz w:val="24"/>
          <w:szCs w:val="24"/>
          <w:shd w:fill="FFFFFF" w:val="clear"/>
          <w:lang w:val="mn-MN"/>
        </w:rPr>
        <w:t xml:space="preserve">Нийгмийн хамгаалал, хөдөлмөрийн сайд С.Чинзориг, Нийгмийн даатгалын ерөнхий газрын дарга Д.Зоригт </w:t>
      </w:r>
      <w:r>
        <w:rPr>
          <w:rFonts w:ascii="Arial" w:cs="Arial" w:hAnsi="Arial"/>
          <w:i w:val="false"/>
          <w:iCs w:val="false"/>
          <w:color w:val="000000"/>
          <w:sz w:val="24"/>
          <w:szCs w:val="24"/>
          <w:shd w:fill="FFFFFF" w:val="clear"/>
          <w:lang w:val="mn-MN"/>
        </w:rPr>
        <w:t xml:space="preserve"> нар хариулж, тайлбар хийв.</w:t>
      </w:r>
    </w:p>
    <w:p>
      <w:pPr>
        <w:pStyle w:val="style20"/>
        <w:spacing w:after="0" w:before="0"/>
        <w:contextualSpacing w:val="false"/>
        <w:jc w:val="both"/>
      </w:pPr>
      <w:r>
        <w:rPr/>
      </w:r>
    </w:p>
    <w:p>
      <w:pPr>
        <w:pStyle w:val="style20"/>
        <w:spacing w:after="0" w:before="0"/>
        <w:contextualSpacing w:val="false"/>
        <w:jc w:val="both"/>
      </w:pPr>
      <w:r>
        <w:rPr>
          <w:rFonts w:ascii="Arial" w:cs="Arial" w:hAnsi="Arial"/>
          <w:i w:val="false"/>
          <w:iCs w:val="false"/>
          <w:color w:val="000000"/>
          <w:sz w:val="24"/>
          <w:szCs w:val="24"/>
          <w:shd w:fill="FFFFFF" w:val="clear"/>
          <w:lang w:val="mn-MN"/>
        </w:rPr>
        <w:tab/>
        <w:t xml:space="preserve">Төслийн талаар Улсын Их Хурлын гишүүд үг хэлээгүй болно. </w:t>
      </w:r>
    </w:p>
    <w:p>
      <w:pPr>
        <w:pStyle w:val="style20"/>
        <w:spacing w:after="0" w:before="0"/>
        <w:contextualSpacing w:val="false"/>
        <w:jc w:val="both"/>
      </w:pPr>
      <w:r>
        <w:rPr/>
      </w:r>
    </w:p>
    <w:p>
      <w:pPr>
        <w:pStyle w:val="style20"/>
        <w:spacing w:after="0" w:before="0" w:line="200" w:lineRule="atLeast"/>
        <w:contextualSpacing w:val="false"/>
        <w:jc w:val="both"/>
      </w:pPr>
      <w:r>
        <w:rPr>
          <w:rFonts w:ascii="Arial" w:cs="Arial" w:hAnsi="Arial"/>
          <w:b/>
          <w:bCs w:val="false"/>
          <w:i/>
          <w:color w:val="000000"/>
          <w:sz w:val="24"/>
          <w:szCs w:val="24"/>
          <w:lang w:val="mn-MN"/>
        </w:rPr>
        <w:tab/>
      </w:r>
      <w:r>
        <w:rPr>
          <w:rFonts w:ascii="Arial" w:cs="Arial" w:hAnsi="Arial"/>
          <w:b w:val="false"/>
          <w:bCs w:val="false"/>
          <w:i w:val="false"/>
          <w:iCs w:val="false"/>
          <w:color w:val="000000"/>
          <w:sz w:val="24"/>
          <w:szCs w:val="24"/>
          <w:lang w:val="mn-MN"/>
        </w:rPr>
        <w:t xml:space="preserve">Монгол Улсын нэгдсэн төсвийн 2018 оны гүйцэтгэл, Засгийн газрын санхүүгийн тайлан,  “Монгол Улсын 2018 оны төсвийн гүйцэтгэлийг батлах тухай” Улсын Их Хурлын тогтоолын төслийн талаар Байнгын хорооноос гарах санал, дүгнэлтийг Улсын Их Хурлын гишүүн Ц.Цогзолмаа Төсвийн зарлагын хяналтын дэд хороонд танилцуулахаар тогтов. </w:t>
      </w:r>
    </w:p>
    <w:p>
      <w:pPr>
        <w:pStyle w:val="style0"/>
        <w:jc w:val="both"/>
      </w:pPr>
      <w:r>
        <w:rPr>
          <w:rFonts w:ascii="Arial" w:cs="Arial" w:hAnsi="Arial"/>
          <w:b w:val="false"/>
          <w:bCs w:val="false"/>
          <w:i w:val="false"/>
          <w:iCs w:val="false"/>
          <w:lang w:val="mn-MN"/>
        </w:rPr>
        <w:tab/>
      </w:r>
    </w:p>
    <w:p>
      <w:pPr>
        <w:pStyle w:val="style20"/>
        <w:spacing w:after="0" w:before="0"/>
        <w:contextualSpacing w:val="false"/>
        <w:jc w:val="both"/>
      </w:pPr>
      <w:r>
        <w:rPr>
          <w:rFonts w:ascii="Arial" w:cs="Arial" w:hAnsi="Arial"/>
          <w:i/>
          <w:color w:val="000000"/>
          <w:lang w:val="mn-MN"/>
        </w:rPr>
        <w:tab/>
        <w:t>Хуралдаан 31 минут үргэлжилж, 19 гишүүнээс  10 гишүүн ирж, 52.6 хувийн ирцтэйгээр 15 цаг 15 минутад өндөрлөв.</w:t>
      </w:r>
    </w:p>
    <w:p>
      <w:pPr>
        <w:pStyle w:val="style20"/>
        <w:spacing w:after="0" w:before="0"/>
        <w:contextualSpacing w:val="false"/>
        <w:jc w:val="both"/>
      </w:pPr>
      <w:r>
        <w:rPr/>
      </w:r>
    </w:p>
    <w:p>
      <w:pPr>
        <w:pStyle w:val="style20"/>
        <w:spacing w:after="0" w:before="0"/>
        <w:contextualSpacing w:val="false"/>
        <w:jc w:val="both"/>
      </w:pPr>
      <w:r>
        <w:rPr/>
      </w:r>
    </w:p>
    <w:p>
      <w:pPr>
        <w:pStyle w:val="style0"/>
        <w:spacing w:after="0" w:before="0"/>
        <w:contextualSpacing w:val="false"/>
        <w:jc w:val="both"/>
      </w:pPr>
      <w:r>
        <w:rPr>
          <w:rFonts w:ascii="Arial" w:hAnsi="Arial"/>
          <w:lang w:val="mn-MN"/>
        </w:rPr>
        <w:tab/>
        <w:t>Тэмдэглэлтэй танилцсан:</w:t>
      </w:r>
    </w:p>
    <w:p>
      <w:pPr>
        <w:pStyle w:val="style20"/>
        <w:spacing w:after="0" w:before="0"/>
        <w:contextualSpacing w:val="false"/>
        <w:jc w:val="both"/>
      </w:pPr>
      <w:r>
        <w:rPr>
          <w:rFonts w:ascii="Arial" w:hAnsi="Arial"/>
          <w:lang w:val="mn-MN"/>
        </w:rPr>
        <w:tab/>
        <w:t>НИЙГМИЙН БОДЛОГО, БОЛОВСРОЛ,</w:t>
      </w:r>
    </w:p>
    <w:p>
      <w:pPr>
        <w:pStyle w:val="style20"/>
        <w:spacing w:after="0" w:before="0"/>
        <w:contextualSpacing w:val="false"/>
        <w:jc w:val="both"/>
      </w:pPr>
      <w:r>
        <w:rPr>
          <w:rFonts w:ascii="Arial" w:hAnsi="Arial"/>
          <w:lang w:val="mn-MN"/>
        </w:rPr>
        <w:tab/>
        <w:t>СОЁЛ, ШИНЖЛЭХ УХААНЫ БАЙНГЫН</w:t>
      </w:r>
    </w:p>
    <w:p>
      <w:pPr>
        <w:pStyle w:val="style20"/>
        <w:spacing w:after="0" w:before="0"/>
        <w:contextualSpacing w:val="false"/>
        <w:jc w:val="both"/>
      </w:pPr>
      <w:r>
        <w:rPr>
          <w:rFonts w:ascii="Arial" w:hAnsi="Arial"/>
          <w:lang w:val="mn-MN"/>
        </w:rPr>
        <w:tab/>
        <w:t xml:space="preserve">ХОРООНЫ ДАРГА </w:t>
        <w:tab/>
        <w:tab/>
        <w:tab/>
        <w:tab/>
        <w:tab/>
        <w:tab/>
        <w:tab/>
        <w:t>Д.ОЮУНХОРОЛ</w:t>
      </w:r>
    </w:p>
    <w:p>
      <w:pPr>
        <w:pStyle w:val="style20"/>
        <w:spacing w:after="0" w:before="0"/>
        <w:contextualSpacing w:val="false"/>
        <w:jc w:val="both"/>
      </w:pPr>
      <w:r>
        <w:rPr/>
      </w:r>
    </w:p>
    <w:p>
      <w:pPr>
        <w:pStyle w:val="style20"/>
        <w:spacing w:after="0" w:before="0"/>
        <w:contextualSpacing w:val="false"/>
        <w:jc w:val="both"/>
      </w:pPr>
      <w:r>
        <w:rPr/>
      </w:r>
    </w:p>
    <w:p>
      <w:pPr>
        <w:pStyle w:val="style20"/>
        <w:spacing w:after="0" w:before="0"/>
        <w:contextualSpacing w:val="false"/>
        <w:jc w:val="both"/>
      </w:pPr>
      <w:r>
        <w:rPr>
          <w:rFonts w:ascii="Arial" w:hAnsi="Arial"/>
          <w:lang w:val="mn-MN"/>
        </w:rPr>
        <w:tab/>
        <w:t xml:space="preserve">Тэмдэглэл хөтөлсөн: </w:t>
      </w:r>
    </w:p>
    <w:p>
      <w:pPr>
        <w:pStyle w:val="style20"/>
        <w:spacing w:after="0" w:before="0"/>
        <w:contextualSpacing w:val="false"/>
        <w:jc w:val="both"/>
      </w:pPr>
      <w:r>
        <w:rPr>
          <w:rFonts w:ascii="Arial" w:hAnsi="Arial"/>
          <w:lang w:val="mn-MN"/>
        </w:rPr>
        <w:tab/>
        <w:t>ПРОТОКОЛЫН АЛБАНЫ</w:t>
      </w:r>
    </w:p>
    <w:p>
      <w:pPr>
        <w:pStyle w:val="style20"/>
        <w:spacing w:after="0" w:before="0"/>
        <w:contextualSpacing w:val="false"/>
        <w:jc w:val="both"/>
      </w:pPr>
      <w:r>
        <w:rPr>
          <w:rFonts w:ascii="Arial" w:hAnsi="Arial"/>
        </w:rPr>
        <w:t xml:space="preserve"> </w:t>
      </w:r>
      <w:r>
        <w:rPr>
          <w:rFonts w:ascii="Arial" w:hAnsi="Arial"/>
        </w:rPr>
        <w:tab/>
      </w:r>
      <w:r>
        <w:rPr>
          <w:rFonts w:ascii="Arial" w:hAnsi="Arial"/>
          <w:lang w:val="mn-MN"/>
        </w:rPr>
        <w:t>ШИНЖЭЭЧ</w:t>
        <w:tab/>
        <w:tab/>
        <w:tab/>
        <w:tab/>
        <w:tab/>
        <w:tab/>
        <w:tab/>
        <w:tab/>
        <w:t>Д.ЦЭНДСҮРЭН</w:t>
      </w:r>
    </w:p>
    <w:p>
      <w:pPr>
        <w:pStyle w:val="style20"/>
        <w:spacing w:after="0" w:before="0"/>
        <w:contextualSpacing w:val="false"/>
        <w:jc w:val="both"/>
      </w:pPr>
      <w:r>
        <w:rPr/>
      </w:r>
    </w:p>
    <w:p>
      <w:pPr>
        <w:pStyle w:val="style0"/>
        <w:jc w:val="both"/>
      </w:pPr>
      <w:r>
        <w:rPr/>
      </w:r>
    </w:p>
    <w:p>
      <w:pPr>
        <w:pStyle w:val="style0"/>
        <w:jc w:val="both"/>
      </w:pPr>
      <w:r>
        <w:rPr>
          <w:rFonts w:ascii="Arial" w:hAnsi="Arial"/>
          <w:lang w:val="mn-MN"/>
        </w:rPr>
        <w:t xml:space="preserve"> </w:t>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Fonts w:ascii="Arial" w:hAnsi="Arial"/>
          <w:b/>
          <w:lang w:val="mn-MN"/>
        </w:rPr>
        <w:t xml:space="preserve">МОНГОЛ УЛСЫН ИХ ХУРЛЫН </w:t>
      </w:r>
      <w:r>
        <w:rPr>
          <w:rFonts w:ascii="Arial" w:hAnsi="Arial"/>
          <w:b/>
          <w:shd w:fill="FFFFFF" w:val="clear"/>
          <w:lang w:val="mn-MN"/>
        </w:rPr>
        <w:t>2019 ОНЫ НАМРЫН ЭЭЛЖИТ ЧУУЛГАНЫ</w:t>
      </w:r>
    </w:p>
    <w:p>
      <w:pPr>
        <w:pStyle w:val="style20"/>
        <w:spacing w:after="0" w:before="0"/>
        <w:contextualSpacing w:val="false"/>
        <w:jc w:val="center"/>
      </w:pPr>
      <w:r>
        <w:rPr>
          <w:rFonts w:ascii="Arial" w:hAnsi="Arial"/>
          <w:b/>
          <w:shd w:fill="FFFFFF" w:val="clear"/>
          <w:lang w:val="mn-MN"/>
        </w:rPr>
        <w:t xml:space="preserve">НИЙГМИЙН БОДЛОГО, БОЛОВСРОЛ, СОЁЛ, ШИНЖЛЭХ УХААНЫ </w:t>
      </w:r>
    </w:p>
    <w:p>
      <w:pPr>
        <w:pStyle w:val="style20"/>
        <w:spacing w:after="0" w:before="0"/>
        <w:contextualSpacing w:val="false"/>
        <w:jc w:val="center"/>
      </w:pPr>
      <w:r>
        <w:rPr>
          <w:rFonts w:ascii="Arial" w:hAnsi="Arial"/>
          <w:b/>
          <w:lang w:val="mn-MN"/>
        </w:rPr>
        <w:t xml:space="preserve">БАЙНГЫН ХОРООНЫ 10  ДУГААР САРЫН 02-НЫ ӨДӨР </w:t>
      </w:r>
    </w:p>
    <w:p>
      <w:pPr>
        <w:pStyle w:val="style20"/>
        <w:spacing w:after="0" w:before="0"/>
        <w:contextualSpacing w:val="false"/>
        <w:jc w:val="center"/>
      </w:pPr>
      <w:r>
        <w:rPr>
          <w:rFonts w:ascii="Arial" w:hAnsi="Arial"/>
          <w:b/>
          <w:lang w:val="mn-MN"/>
        </w:rPr>
        <w:t>/ЛХАГВА ГАРАГ/-ИЙН ХУРАЛДААНЫ ДЭЛГЭРЭНГҮЙ ТЭМДЭГЛЭЛ</w:t>
      </w:r>
    </w:p>
    <w:p>
      <w:pPr>
        <w:pStyle w:val="style20"/>
        <w:spacing w:after="0" w:before="0" w:line="200" w:lineRule="atLeast"/>
        <w:contextualSpacing w:val="false"/>
        <w:jc w:val="center"/>
      </w:pPr>
      <w:r>
        <w:rPr/>
      </w:r>
    </w:p>
    <w:p>
      <w:pPr>
        <w:pStyle w:val="style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b w:val="false"/>
          <w:bCs w:val="false"/>
          <w:sz w:val="24"/>
          <w:szCs w:val="24"/>
        </w:rPr>
        <w:tab/>
        <w:t>Монгол Улсын 2018 оны төсвийн гүйцэтгэлийн талаар Засгийн газрын гишүүн, Сангийн сайд Ч.Хүрэлбаатар танилцуулга хийлээ.</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b w:val="false"/>
          <w:bCs w:val="false"/>
          <w:sz w:val="24"/>
          <w:szCs w:val="24"/>
        </w:rPr>
        <w:tab/>
      </w:r>
      <w:r>
        <w:rPr>
          <w:rFonts w:ascii="Arial" w:hAnsi="Arial"/>
          <w:b/>
          <w:bCs/>
          <w:sz w:val="24"/>
          <w:szCs w:val="24"/>
          <w:lang w:val="mn-MN"/>
        </w:rPr>
        <w:t>Ч.Хүрэлбаатар</w:t>
      </w:r>
      <w:r>
        <w:rPr>
          <w:rFonts w:ascii="Arial" w:hAnsi="Arial"/>
          <w:b w:val="false"/>
          <w:bCs w:val="false"/>
          <w:sz w:val="24"/>
          <w:szCs w:val="24"/>
          <w:lang w:val="mn-MN"/>
        </w:rPr>
        <w:t xml:space="preserve">: Байнгын хорооны даргын үүрэг гүйцэтгэгч, </w:t>
      </w:r>
    </w:p>
    <w:p>
      <w:pPr>
        <w:pStyle w:val="style20"/>
        <w:spacing w:after="0" w:before="0" w:line="200" w:lineRule="atLeast"/>
        <w:contextualSpacing w:val="false"/>
        <w:jc w:val="both"/>
      </w:pPr>
      <w:r>
        <w:rPr>
          <w:rFonts w:ascii="Arial" w:hAnsi="Arial"/>
          <w:b w:val="false"/>
          <w:bCs w:val="false"/>
          <w:sz w:val="24"/>
          <w:szCs w:val="24"/>
          <w:lang w:val="mn-MN"/>
        </w:rPr>
        <w:tab/>
        <w:t xml:space="preserve">                            Улсын Их Хурлын эрхэм гишүүд ээ</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b w:val="false"/>
          <w:bCs w:val="false"/>
          <w:sz w:val="24"/>
          <w:szCs w:val="24"/>
        </w:rPr>
        <w:tab/>
        <w:t xml:space="preserve">Монгол Улсын </w:t>
      </w:r>
      <w:r>
        <w:rPr>
          <w:rFonts w:ascii="Arial" w:hAnsi="Arial"/>
          <w:b w:val="false"/>
          <w:bCs w:val="false"/>
          <w:sz w:val="24"/>
          <w:szCs w:val="24"/>
          <w:lang w:val="mn-MN"/>
        </w:rPr>
        <w:t>нэгдсэн төсвийн</w:t>
      </w:r>
      <w:r>
        <w:rPr>
          <w:rFonts w:ascii="Arial" w:hAnsi="Arial"/>
          <w:b w:val="false"/>
          <w:bCs w:val="false"/>
          <w:sz w:val="24"/>
          <w:szCs w:val="24"/>
        </w:rPr>
        <w:t xml:space="preserve"> 2018 оны </w:t>
      </w:r>
      <w:r>
        <w:rPr>
          <w:rFonts w:ascii="Arial" w:hAnsi="Arial"/>
          <w:b w:val="false"/>
          <w:bCs w:val="false"/>
          <w:sz w:val="24"/>
          <w:szCs w:val="24"/>
          <w:lang w:val="mn-MN"/>
        </w:rPr>
        <w:t xml:space="preserve">гүйцэтгэл болон Засгийн газрын санхүүгийн нэгтгэсэн тайланг хуулийн хугацаанд нэгтгэн аудит хийлгэж, Монгол Улсын Их Хурлын 2019 оны ээлжит чуулганы 10 дугаар сарын 1-ний өдрийн нэгдсэн хуралдаанаар анхны хэлэлцүүлэгт танилцуулсан билээ.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b w:val="false"/>
          <w:bCs w:val="false"/>
          <w:sz w:val="24"/>
          <w:szCs w:val="24"/>
          <w:lang w:val="mn-MN"/>
        </w:rPr>
        <w:tab/>
        <w:t>Монгол Улсын 2018 оны нэгдсэн төсвийн тэнцвэржүүлсэн орлого, тусламжийн орлогын гүйцэтгэл нь 9.3 их наяд</w:t>
      </w:r>
      <w:r>
        <w:rPr>
          <w:rFonts w:ascii="Arial" w:hAnsi="Arial"/>
          <w:b w:val="false"/>
          <w:bCs w:val="false"/>
          <w:sz w:val="24"/>
          <w:szCs w:val="24"/>
        </w:rPr>
        <w:t xml:space="preserve"> тэрбум төгрөгт, нэгдсэн төсвийн зарлага 9,3 их наяд төгрөгт хүрч, нэгдсэн төсвийн тэнцвэржүүлсэн тэнцэл 27.9 тэрбум төгрөгийн ашигтай гар</w:t>
      </w:r>
      <w:r>
        <w:rPr>
          <w:rFonts w:ascii="Arial" w:hAnsi="Arial"/>
          <w:b w:val="false"/>
          <w:bCs w:val="false"/>
          <w:sz w:val="24"/>
          <w:szCs w:val="24"/>
          <w:lang w:val="mn-MN"/>
        </w:rPr>
        <w:t>сан. Энэ бол 2010 оноос хойш сүүлийн 8 жилд анх удаагаа төсөв ашигтай гарч байгаа тохиолдол юм.</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b w:val="false"/>
          <w:bCs w:val="false"/>
          <w:sz w:val="24"/>
          <w:szCs w:val="24"/>
          <w:lang w:val="mn-MN"/>
        </w:rPr>
        <w:tab/>
        <w:t xml:space="preserve">Энэ төсвийн ашгийн хэмжээ бол </w:t>
      </w:r>
      <w:r>
        <w:rPr>
          <w:rFonts w:ascii="Arial" w:hAnsi="Arial"/>
          <w:b w:val="false"/>
          <w:bCs w:val="false"/>
          <w:sz w:val="24"/>
          <w:szCs w:val="24"/>
        </w:rPr>
        <w:t xml:space="preserve">дотоодын нийт бүтээгдэхүүний 0.09 хувьтай тэнцсэн байна. </w:t>
      </w:r>
      <w:r>
        <w:rPr>
          <w:rFonts w:ascii="Arial" w:hAnsi="Arial"/>
          <w:b w:val="false"/>
          <w:bCs w:val="false"/>
          <w:sz w:val="24"/>
          <w:szCs w:val="24"/>
          <w:lang w:val="mn-MN"/>
        </w:rPr>
        <w:t>Эдийн засгийг эрчимжүүлэх чиглэлээр хэрэгжүүлж буй бодлогын үр дүн, уул уурхайн бүтээгдэхүүний экспортын хэмжээ болон үнийн өсөлт, аж ахуйн нэгжүүдийн ашигт ажиллагаа, санхүүгийн чадвар сайжирсан. Нэмэгдсэн өртгийн албан татварын бүртгэлийн системийн хамрагдалд өссөн, татварын  өр барагдуулалтын төвшин нэмэгдсэн зэрэг эерэг үзүүлэлтүүдийн үр дүнд нэгдсэн төсвийн нийт орлого 10.2 их наяд төгрөгт хүрсэн.</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b w:val="false"/>
          <w:bCs w:val="false"/>
          <w:sz w:val="24"/>
          <w:szCs w:val="24"/>
          <w:lang w:val="mn-MN"/>
        </w:rPr>
        <w:tab/>
        <w:t>Түүнчлэн төсөв, санхүүгийн зохистой бодлогыг хэрэгжүүлсэн, төсвийг тодотгохгүйгээр мөрдүүлсэн, Засгийн газрын дотоод, гадаад үнэт цаас гаргахгүйгээр төсвийн санхүүжилтийг бүрэн олгож, төсвийн сахилга, хариуцлагыг сайжруулсан ийм жил болж өнгөрлөө.</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b w:val="false"/>
          <w:bCs w:val="false"/>
          <w:sz w:val="24"/>
          <w:szCs w:val="24"/>
          <w:lang w:val="mn-MN"/>
        </w:rPr>
        <w:tab/>
        <w:t xml:space="preserve">Монгол Улсын нэгдсэн төсвийн гүйцэтгэл, Засгийн газрын санхүүгийн нэгдсэн тайланд тус Байнгын хороонд харьяалагдах Боловсрол, соёл, шинжлэх ухаан, спортын сайд, Эрүүл мэндийн сайд болон Хөдөлмөр, нийгмийн </w:t>
      </w:r>
      <w:r>
        <w:rPr>
          <w:rFonts w:ascii="Arial" w:hAnsi="Arial"/>
          <w:b w:val="false"/>
          <w:bCs w:val="false"/>
          <w:sz w:val="24"/>
          <w:szCs w:val="24"/>
        </w:rPr>
        <w:t xml:space="preserve"> хамгааллын сайдын багц дахь төсвийн 373 шууд захирагч, төрийн 100 хувийн өмчит аж ахуйн нэгж болон Засгийн газрын гадаад зээл, буцалтгүй тусламжийн хөрөнгөөр хэрэгжиж байгаа төсөл, </w:t>
      </w:r>
      <w:r>
        <w:rPr>
          <w:rFonts w:ascii="Arial" w:hAnsi="Arial"/>
          <w:b w:val="false"/>
          <w:bCs w:val="false"/>
          <w:sz w:val="24"/>
          <w:szCs w:val="24"/>
          <w:lang w:val="mn-MN"/>
        </w:rPr>
        <w:t>сан</w:t>
      </w:r>
      <w:r>
        <w:rPr>
          <w:rFonts w:ascii="Arial" w:hAnsi="Arial"/>
          <w:b w:val="false"/>
          <w:bCs w:val="false"/>
          <w:sz w:val="24"/>
          <w:szCs w:val="24"/>
        </w:rPr>
        <w:t xml:space="preserve"> болон Нийгмийн даатгалын сан, Эрүүл мэндийн даатгалын сангийн төсвийн гүйцэтгэл, санхүүгийн тайланг нэгтгэн гаргасан </w:t>
      </w:r>
      <w:r>
        <w:rPr>
          <w:rFonts w:ascii="Arial" w:hAnsi="Arial"/>
          <w:b w:val="false"/>
          <w:bCs w:val="false"/>
          <w:sz w:val="24"/>
          <w:szCs w:val="24"/>
          <w:lang w:val="mn-MN"/>
        </w:rPr>
        <w:t>болно.</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b w:val="false"/>
          <w:bCs w:val="false"/>
          <w:sz w:val="24"/>
          <w:szCs w:val="24"/>
          <w:lang w:val="mn-MN"/>
        </w:rPr>
        <w:tab/>
      </w:r>
      <w:r>
        <w:rPr>
          <w:rFonts w:ascii="Arial" w:hAnsi="Arial"/>
          <w:b w:val="false"/>
          <w:bCs w:val="false"/>
          <w:sz w:val="24"/>
          <w:szCs w:val="24"/>
        </w:rPr>
        <w:t xml:space="preserve">Тус </w:t>
      </w:r>
      <w:r>
        <w:rPr>
          <w:rFonts w:ascii="Arial" w:hAnsi="Arial"/>
          <w:b w:val="false"/>
          <w:bCs w:val="false"/>
          <w:sz w:val="24"/>
          <w:szCs w:val="24"/>
          <w:lang w:val="mn-MN"/>
        </w:rPr>
        <w:t>Б</w:t>
      </w:r>
      <w:r>
        <w:rPr>
          <w:rFonts w:ascii="Arial" w:hAnsi="Arial"/>
          <w:b w:val="false"/>
          <w:bCs w:val="false"/>
          <w:sz w:val="24"/>
          <w:szCs w:val="24"/>
        </w:rPr>
        <w:t xml:space="preserve">айнгын хорооны </w:t>
      </w:r>
      <w:r>
        <w:rPr>
          <w:rFonts w:ascii="Arial" w:hAnsi="Arial"/>
          <w:b w:val="false"/>
          <w:bCs w:val="false"/>
          <w:sz w:val="24"/>
          <w:szCs w:val="24"/>
          <w:lang w:val="mn-MN"/>
        </w:rPr>
        <w:t>төсвийн ерөнхийлөн</w:t>
      </w:r>
      <w:r>
        <w:rPr>
          <w:rFonts w:ascii="Arial" w:hAnsi="Arial"/>
          <w:b w:val="false"/>
          <w:bCs w:val="false"/>
          <w:sz w:val="24"/>
          <w:szCs w:val="24"/>
        </w:rPr>
        <w:t xml:space="preserve"> захирагчдын нийт зарлага ба цэвэр зээлийн дүн 5 их наяд 526.2 тэрбум төгрөгт хүрч, төлөвлөснөөс 289.7 тэрбум төгрөгийн дутуу гүйцэтгэлтэй </w:t>
      </w:r>
      <w:r>
        <w:rPr>
          <w:rFonts w:ascii="Arial" w:hAnsi="Arial"/>
          <w:b w:val="false"/>
          <w:bCs w:val="false"/>
          <w:sz w:val="24"/>
          <w:szCs w:val="24"/>
          <w:lang w:val="mn-MN"/>
        </w:rPr>
        <w:t>байна</w:t>
      </w:r>
      <w:r>
        <w:rPr>
          <w:rFonts w:ascii="Arial" w:hAnsi="Arial"/>
          <w:b w:val="false"/>
          <w:bCs w:val="false"/>
          <w:sz w:val="24"/>
          <w:szCs w:val="24"/>
        </w:rPr>
        <w:t>. Урсгал</w:t>
      </w:r>
      <w:r>
        <w:rPr>
          <w:rFonts w:ascii="Arial" w:hAnsi="Arial"/>
          <w:sz w:val="24"/>
          <w:szCs w:val="24"/>
        </w:rPr>
        <w:t xml:space="preserve"> зардалд 5 их наяд 78.9 тэрбум төгрөг, хөрөнгийн зардалд 399 тэрбум төгрөг, цэвэр зээлийн зардалд 48.3 тэрбум төгрөгийг тус тус зарцуулсан. Нийт зарлага ба цэвэр зээлийн дүнгийн 26.3 хувь буюу 1 их наяд 455.3 тэрбум төгрөгийг Боловсрол,соёл, шинжлэх ухаан, спортын сайд, 22.1 хувь буюу 1 их наяд 222.7 тэрбум төгрөгийг Хөдөлмөр, нийгмийн хамгааллын сайд, 13.1 хувь буюу 721.9 тэрбум төгрөгийг Эрүүл мэндийн сайд, 32.8 хувь буюу 1 их наяд 814.6 тэрбум төгрөгийг Нийгмийн даатгалын сан, 5.6 хувь буюу 311.7 тэрбум төгрөгийг Эрүүл мэндийн даатгалын сангийн зарлага эзэлж </w:t>
      </w:r>
      <w:r>
        <w:rPr>
          <w:rFonts w:ascii="Arial" w:hAnsi="Arial"/>
          <w:sz w:val="24"/>
          <w:szCs w:val="24"/>
          <w:lang w:val="mn-MN"/>
        </w:rPr>
        <w:t>байна</w:t>
      </w:r>
      <w:r>
        <w:rPr>
          <w:rFonts w:ascii="Arial" w:hAnsi="Arial"/>
          <w:sz w:val="24"/>
          <w:szCs w:val="24"/>
        </w:rPr>
        <w:t xml:space="preserve">.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rPr>
        <w:tab/>
        <w:t xml:space="preserve">Тайлант онд улсын төсвөөс 285.6 тэрбум төгрөгийн хөрөнгө оруулалтын санхүүжилтийг олгосон байна. </w:t>
      </w:r>
      <w:r>
        <w:rPr>
          <w:rFonts w:ascii="Arial" w:hAnsi="Arial"/>
          <w:sz w:val="24"/>
          <w:szCs w:val="24"/>
          <w:lang w:val="mn-MN"/>
        </w:rPr>
        <w:t xml:space="preserve">Тухайлбал </w:t>
      </w:r>
      <w:r>
        <w:rPr>
          <w:rFonts w:ascii="Arial" w:hAnsi="Arial"/>
          <w:sz w:val="24"/>
          <w:szCs w:val="24"/>
        </w:rPr>
        <w:t xml:space="preserve">Боловсрол, соёл, шинжлэх ухаан, спортын сайдын багцад 222.4 тэрбум төгрөг, Хөдөлмөр, нийгмийн хамгааллын сайдын багцад 16.8 тэрбум төгрөг, Эрүүл мэндийн сайдын багцад 46.4 тэрбум төгрөгийн хөрөнгө оруулалтын санхүүжилтийг тус тус олгосон байна.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rPr>
        <w:tab/>
        <w:t xml:space="preserve">Улсын төсвөөс 3 их наяд 582.9 тэрбум төгрөгийн санхүүжилт авсан бол төсөвт байгууллагын өөрийн орлогоор 86.4 тэрбум төгрөг, Эрүүл мэндийн даатгалын сангийн санхүүжилтээр 612.6 тэрбум төгрөгийн эх үүсвэрийг бүрдүүлсэн байна.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rPr>
        <w:tab/>
      </w:r>
      <w:r>
        <w:rPr>
          <w:rFonts w:ascii="Arial" w:hAnsi="Arial"/>
          <w:sz w:val="24"/>
          <w:szCs w:val="24"/>
          <w:lang w:val="mn-MN"/>
        </w:rPr>
        <w:t>Улсын Их Хурлын эрхэм гишүүд ээ,</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lang w:val="mn-MN"/>
        </w:rPr>
        <w:tab/>
        <w:t>Та бүхэн  2018 оны төсвийн гүйцэтгэлийн үр дүнгийн тоон үзүүлэлтүүд болон бусад холбогдох тайланг танилцуулах аудитын дүгнэлтүүдтэй танилцаж,  Төсвийн тухай хуулийн дагуу Монгол Улсын төсвийн гүйцэтгэлийг батлах тухай Улсын Их Хурлын тогтоолын төслийг хэлэлцэж өгнө үү.</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lang w:val="mn-MN"/>
        </w:rPr>
        <w:tab/>
        <w:t>Баярлалаа.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lang w:val="mn-MN"/>
        </w:rPr>
        <w:tab/>
      </w:r>
      <w:r>
        <w:rPr>
          <w:rFonts w:ascii="Arial" w:hAnsi="Arial"/>
          <w:b/>
          <w:bCs/>
          <w:sz w:val="24"/>
          <w:szCs w:val="24"/>
          <w:lang w:val="mn-MN"/>
        </w:rPr>
        <w:t xml:space="preserve">Ц.Цогзолмаа: </w:t>
      </w:r>
      <w:r>
        <w:rPr>
          <w:rFonts w:ascii="Arial" w:hAnsi="Arial"/>
          <w:sz w:val="24"/>
          <w:szCs w:val="24"/>
          <w:lang w:val="mn-MN"/>
        </w:rPr>
        <w:t>Хүрэлбаатар сайдад баярлалаа.  Монгол Улсын 2018 оны нэгдсэн төсвийн гүйцэтгэлд гаргасан аудитын дүгнэлтийг Монгол Улсын Ерөнхий аудиторын орлогч С.Оюунбилэг танилцуулна.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lang w:val="mn-MN"/>
        </w:rPr>
        <w:tab/>
      </w:r>
      <w:r>
        <w:rPr>
          <w:rFonts w:ascii="Arial" w:hAnsi="Arial"/>
          <w:b/>
          <w:bCs/>
          <w:sz w:val="24"/>
          <w:szCs w:val="24"/>
          <w:lang w:val="mn-MN"/>
        </w:rPr>
        <w:t>С.Оюунбилэг</w:t>
      </w:r>
      <w:r>
        <w:rPr>
          <w:rFonts w:ascii="Arial" w:hAnsi="Arial"/>
          <w:sz w:val="24"/>
          <w:szCs w:val="24"/>
          <w:lang w:val="mn-MN"/>
        </w:rPr>
        <w:t>: Та бүхэнд энэ өдрийн мэнд хүргэе.</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lang w:val="mn-MN"/>
        </w:rPr>
        <w:tab/>
        <w:t xml:space="preserve">Төсвийн тухай хуулийн 8 дугаар зүйлийн 8.9.5, Төрийн аудитын тухай хуулийн 15 дугаар зүйлийн 1.1-д заасан Үндэсний аудитын газрын бүрэн эрхийн хүрээнд төсвийн ерөнхийлөн захирагчдын эрхлэх асуудлын хүрээний байгууллагуудын 2018 оны 12 дугаар сарын 31-ний өдрөөр дуусгавар болсон. Жилийн эцсийн санхүүгийн нэгтгэсэн тайланд төсвийн гүйцэтгэлд аудит хийлээ.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lang w:val="mn-MN"/>
        </w:rPr>
        <w:tab/>
        <w:t>Тус Байнгын хорооны харьяа төсвийн ерөнхийлөн захирагчдын нэгтгэсэн санхүүгийн тайланд төсвийн гүйцэтгэлийн аудитын талаар товч танилцуулъя.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lang w:val="mn-MN"/>
        </w:rPr>
        <w:tab/>
        <w:t>Тайлант онд 2018 оны нийт зарлага ба цэвэр зээл 5.5 их наяд төгрөг буюу 95.0 хувийн гүйцэтгэлтэй байлаа.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lang w:val="mn-MN"/>
        </w:rPr>
        <w:tab/>
        <w:t xml:space="preserve">Тус Байнгын хороонд харьяалагдах төсвийн ерөнхийлөн захирагчдын 2018 оны санхүүгийн тайланд 5 дүгнэлт гаргаснаас 2 байгууллага зөрчилгүй, З байгууллагад хязгаарлалттай санал дүгнэлт өгсөн байна. Хязгаарлалттай санал, дүгнэлт авсан төсвийн ерөнхийлөн захирагчдад нэгдүгээрт, Боловсрол, соёл, шинжлэх ухаан, спортын </w:t>
      </w:r>
      <w:r>
        <w:rPr>
          <w:rFonts w:ascii="Arial" w:hAnsi="Arial"/>
          <w:color w:val="000000"/>
          <w:sz w:val="24"/>
          <w:szCs w:val="24"/>
        </w:rPr>
        <w:t xml:space="preserve">сайдын </w:t>
      </w:r>
      <w:r>
        <w:rPr>
          <w:rFonts w:ascii="Arial" w:hAnsi="Arial"/>
          <w:sz w:val="24"/>
          <w:szCs w:val="24"/>
        </w:rPr>
        <w:t xml:space="preserve">эрхлэх асуудлын хүрээний байгууллагуудын 2018 оны санхүүгийн нэгтгэсэн тайланд </w:t>
      </w:r>
      <w:r>
        <w:rPr>
          <w:rFonts w:ascii="Arial" w:hAnsi="Arial"/>
          <w:sz w:val="24"/>
          <w:szCs w:val="24"/>
          <w:lang w:val="mn-MN"/>
        </w:rPr>
        <w:t>дараах үндэслэлээр хязгаарлалттай санал, дүгнэлт өгсөн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lang w:val="mn-MN"/>
        </w:rPr>
        <w:tab/>
        <w:t>Нэгдүгээрт, тайлант оны жилийн эцсийн байдлаар  129.5 тэрбум төгрөгийн авлагын дэлгэрэнгүй бүртгэлийг хөтлөөгүй, санхүүгийн тайлангаарх авлагын дүн анхны шатны баримтаас зөрүүтэй илэрхийлэгдсэн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lang w:val="mn-MN"/>
        </w:rPr>
        <w:tab/>
        <w:t>Хоёрдугаарт, тайлант онд 8 сургууль, цэцэрлэгийн барилгын ажлын санхүүжилт 7.5 тэрбум төгрөгийг гүйцэтгэгч байгууллагад олгоогүйгээр барьцаа хөрөнгийн дансанд шилжүүлсэн зөрчил илэрсэн байна.</w:t>
      </w:r>
    </w:p>
    <w:p>
      <w:pPr>
        <w:pStyle w:val="style20"/>
        <w:spacing w:after="0" w:before="0" w:line="200" w:lineRule="atLeast"/>
        <w:contextualSpacing w:val="false"/>
        <w:jc w:val="both"/>
      </w:pPr>
      <w:r>
        <w:rPr>
          <w:rFonts w:ascii="Arial" w:hAnsi="Arial"/>
          <w:sz w:val="24"/>
          <w:szCs w:val="24"/>
          <w:lang w:val="mn-MN"/>
        </w:rPr>
        <w:tab/>
      </w:r>
    </w:p>
    <w:p>
      <w:pPr>
        <w:pStyle w:val="style20"/>
        <w:spacing w:after="0" w:before="0" w:line="200" w:lineRule="atLeast"/>
        <w:contextualSpacing w:val="false"/>
        <w:jc w:val="both"/>
      </w:pPr>
      <w:r>
        <w:rPr>
          <w:rFonts w:ascii="Arial" w:hAnsi="Arial"/>
          <w:sz w:val="24"/>
          <w:szCs w:val="24"/>
          <w:lang w:val="mn-MN"/>
        </w:rPr>
        <w:tab/>
        <w:t>Нийгмийн даатгалын сангийн 2018 оны санхүүгийн нэгтгэсэн тайланд дараах үндэслэлээр хязгаарлалттай санал, дүгнэлт өгсөн.</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lang w:val="mn-MN"/>
        </w:rPr>
        <w:tab/>
        <w:t>Тайлант онд мөнгөн хөрөнгийн үлдэгдлээр тайлагнасан тус сангийн 105 тэрбум төгрөг нь татан буугдсан Капитал банкинд байршиж байгаа нь Нийгмийн даатгалын тухай хуулийн 27 дугаар зүйлийн 3.3, Нийгмийн даатгалын сангийн чөлөөт үлдэгдэл, хуримтлалын сангийн хөрөнгийн арилжааны банкин дахь мөнгөн хадгаламж хэлбэрээр байршуулах журмын 3 дугаар зүйлийн 3.4.2 дахь заалттай нийцэхгүй, санхүүгийн тайлагналын оршин байх батламж  мэдэгдлийг хангахгүй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lang w:val="mn-MN"/>
        </w:rPr>
        <w:tab/>
        <w:t>Эрүүл мэндийн даатгалын сангийн  2018 оны санхүүгийн нэгтгэсэн тайланд дараах үндэслэлээр хязгаарлалттай дүгнэлт өгсөн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z w:val="24"/>
          <w:szCs w:val="24"/>
          <w:lang w:val="mn-MN"/>
        </w:rPr>
        <w:tab/>
        <w:t>Эрүүл мэндийн даатгалын сангийн 2018 оны санхүүгийн байдлын тайланд тусгагдсан 131.8 тэрбум төгрөгийн мөнгөн хөрөнгө татан буугдсан Капитал банкинд байршиж байгаа нь санхүүгийн тайлагналын оршин байх эрх бүхий үүрэг, батламж, мэдэгдлийг хангахгүй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z w:val="24"/>
          <w:szCs w:val="24"/>
          <w:lang w:val="mn-MN"/>
        </w:rPr>
        <w:tab/>
        <w:t>Санхүүгийн тайлангийн аудитаар 5 төсвийн ерөнхийлөн захирагчдын нийт 634 санхүүгийн тайлан нэгтгэгдсэнээс 15 байгууллагад итгэл үзүүлж, 189 байгууллагыг аудитын түүвэрт хамруулж, 7 байгууллага аудитад хамрагдаагүй бол 423 байгууллагын санхүүгийн тайланд дүгнэлт өгч ажилласан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z w:val="24"/>
          <w:szCs w:val="24"/>
          <w:lang w:val="mn-MN"/>
        </w:rPr>
        <w:tab/>
        <w:t>Дээрх дүгнэлт гаргасан 423 байгууллагаас 363 байгууллага зөрчилгүй, 54 байгууллагад хязгаарлалттай, 4 байгууллагад сөрөг, 2 байгууллагад санал, дүгнэлт өгөхөөс татгалзсан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z w:val="24"/>
          <w:szCs w:val="24"/>
          <w:lang w:val="mn-MN"/>
        </w:rPr>
        <w:tab/>
        <w:t xml:space="preserve">Сөрөг болон санал, дүгнэлт авахаас татгалзсан газруудад хариуцлага тооцуулах  мэдэгдлийг хүргүүлсэн болно.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z w:val="24"/>
          <w:szCs w:val="24"/>
          <w:lang w:val="mn-MN"/>
        </w:rPr>
        <w:tab/>
        <w:t>Аудитаар нийт 1 их наяд төгрөгийн 1283 алдаа зөрчил илрүүлснээс 347 тэрбум төгрөгийн 71 алдаа зөрчлийг аудитын явцад залруулж, 1 тэрбум төгрөгийн 177 акт тогтоож, 317 тэрбум төгрөгийн 289 албан шаардлага хүргүүлж, 341 тэрбум төгрөгийн 721 зөвлөмж өгсөн ба 125.2 сая төгрөгийн 3 зөрчлийг хууль, хяналтын байгууллагад шилжүүлж, зөрчил гаргасан албан тушаалтнуудад хариуцлага тооцуулах 22 саналыг хүргүүлсэн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z w:val="24"/>
          <w:szCs w:val="24"/>
          <w:lang w:val="mn-MN"/>
        </w:rPr>
        <w:tab/>
        <w:t xml:space="preserve">Хөдөлмөр, нийгмийн хамгааллын сайдын эрхлэх асуудлын хүрээний байгууллагуудын санхүүгийн нэгтгэсэн тайланд нийт 185 байгууллагаас 146 байгууллагад дүгнэлт гаргаж, 29 байгууллагыг түүвэрт хамруулж, 5 байгууллагад итгэл үзүүлж, 5 байгууллага аудитад хамрагдаагүй байна.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z w:val="24"/>
          <w:szCs w:val="24"/>
          <w:lang w:val="mn-MN"/>
        </w:rPr>
        <w:tab/>
        <w:t>Дүгнэлт гаргасан 146 байгууллагаас 124 байгууллага зөрчилгүй, 21 байгууллага хязгаарлалттай, 1 байгууллагад сөрөг дүгнэлт өгсөн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z w:val="24"/>
          <w:szCs w:val="24"/>
          <w:lang w:val="mn-MN"/>
        </w:rPr>
        <w:tab/>
        <w:t>Хөдөлмөр, нийгмийн хамгааллын сайдын эрхлэх асуудлын хүрээний байгууллагуудын  2018 оны санхүүгийн нэгтгэсэн тайлангаар 17.1 тэрбум төгрөгийн 357 алдаа зөрчил илэрснээс 3 тэрбум төгрөгийн 31 алдааг санхүүгийн тайланд нь залруулж,  95.7 сая төгрөгийн 63 акт, 4.8 тэрбум төгрөгийн 74 албан шаардлага тогтоож, хариуцлага тооцуулах 22 саналыг хүргүүлж, 9.1 тэрбум төгрөгийн зөрчил давтан гаргахгүй байхаар 167 зөвлөмж өгөгдсөн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z w:val="24"/>
          <w:szCs w:val="24"/>
        </w:rPr>
        <w:tab/>
        <w:t xml:space="preserve">Эрүүл мэндийн сайдын </w:t>
      </w:r>
      <w:r>
        <w:rPr>
          <w:rFonts w:ascii="Arial" w:hAnsi="Arial"/>
          <w:sz w:val="24"/>
          <w:szCs w:val="24"/>
        </w:rPr>
        <w:t xml:space="preserve">эрхлэх асуудлын хүрээний байгууллагуудын 2018 оны санхүүгийн нэгтгэсэн тайланд 188 тайлан нэгтгэгдсэнээс 139 байгууллагад дүгнэлт гаргаж, 41 байгууллага аудитын түүвэрт хамрагдаж, 8 байгууллагад итгэл үзүүлсэн байна. Дүгнэлт гаргасан 139 байгууллагаас 117 байгууллагад </w:t>
      </w:r>
      <w:r>
        <w:rPr>
          <w:rFonts w:ascii="Arial" w:hAnsi="Arial"/>
          <w:sz w:val="24"/>
          <w:szCs w:val="24"/>
          <w:lang w:val="mn-MN"/>
        </w:rPr>
        <w:t>з</w:t>
      </w:r>
      <w:r>
        <w:rPr>
          <w:rFonts w:ascii="Arial" w:hAnsi="Arial"/>
          <w:sz w:val="24"/>
          <w:szCs w:val="24"/>
        </w:rPr>
        <w:t xml:space="preserve">өрчилгүй, 18 байгууллагад  </w:t>
      </w:r>
      <w:r>
        <w:rPr>
          <w:rFonts w:ascii="Arial" w:hAnsi="Arial"/>
          <w:sz w:val="24"/>
          <w:szCs w:val="24"/>
          <w:lang w:val="mn-MN"/>
        </w:rPr>
        <w:t>х</w:t>
      </w:r>
      <w:r>
        <w:rPr>
          <w:rFonts w:ascii="Arial" w:hAnsi="Arial"/>
          <w:sz w:val="24"/>
          <w:szCs w:val="24"/>
        </w:rPr>
        <w:t xml:space="preserve">язгаарлалттай 2 байгууллагад </w:t>
      </w:r>
      <w:r>
        <w:rPr>
          <w:rFonts w:ascii="Arial" w:hAnsi="Arial"/>
          <w:sz w:val="24"/>
          <w:szCs w:val="24"/>
          <w:lang w:val="mn-MN"/>
        </w:rPr>
        <w:t>сө</w:t>
      </w:r>
      <w:r>
        <w:rPr>
          <w:rFonts w:ascii="Arial" w:hAnsi="Arial"/>
          <w:sz w:val="24"/>
          <w:szCs w:val="24"/>
        </w:rPr>
        <w:t xml:space="preserve">рөг, 2 байгууллагад </w:t>
      </w:r>
      <w:r>
        <w:rPr>
          <w:rFonts w:ascii="Arial" w:hAnsi="Arial"/>
          <w:sz w:val="24"/>
          <w:szCs w:val="24"/>
          <w:lang w:val="mn-MN"/>
        </w:rPr>
        <w:t>с</w:t>
      </w:r>
      <w:r>
        <w:rPr>
          <w:rFonts w:ascii="Arial" w:hAnsi="Arial"/>
          <w:sz w:val="24"/>
          <w:szCs w:val="24"/>
        </w:rPr>
        <w:t xml:space="preserve">анал дүгнэлт өгөхөөс </w:t>
      </w:r>
      <w:r>
        <w:rPr>
          <w:rFonts w:ascii="Arial" w:hAnsi="Arial"/>
          <w:sz w:val="24"/>
          <w:szCs w:val="24"/>
          <w:lang w:val="mn-MN"/>
        </w:rPr>
        <w:t>татгалзсан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rPr>
        <w:tab/>
        <w:t xml:space="preserve">Аудитаар нийт 15,6 тэрбум төгрөгийн 419 алдаа зөрчил илрүүлснээс 23.1 сая төгрөгийн алдааг санхүүгийн тайланд залруулж, 324.4 сая төгрөгийн зөрчлийг буруутай этгээдээр нөхөн төлүүлэхээр 73 төлбөрийн акт тогтоон, 12,6 тэрбум төгрөгийн зөрчилд 139 албан шаардлага хүргүүлж </w:t>
      </w:r>
      <w:r>
        <w:rPr>
          <w:rFonts w:ascii="Arial" w:hAnsi="Arial"/>
          <w:sz w:val="24"/>
          <w:szCs w:val="24"/>
          <w:lang w:val="mn-MN"/>
        </w:rPr>
        <w:t>2.3 тэрбум төгрөгийн зөрчлийг давтан гаргахгүй байх талаар 206 зөвлөмжийг хүргүүлж ажилласан байна</w:t>
      </w:r>
      <w:r>
        <w:rPr>
          <w:rFonts w:ascii="Arial" w:hAnsi="Arial"/>
          <w:sz w:val="24"/>
          <w:szCs w:val="24"/>
        </w:rPr>
        <w:t>.</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rPr>
        <w:tab/>
        <w:t xml:space="preserve">Нийгмийн даатгалын сангийн 2018 оны санхүүгийн нэгтгэсэн тайланд 34 тайлан нэгтгэгдсэнээс 32 байгууллагад дүгнэлт гаргаж, 2 байгууллага аудитын түүвэрт </w:t>
      </w:r>
      <w:r>
        <w:rPr>
          <w:rFonts w:ascii="Arial" w:hAnsi="Arial"/>
          <w:sz w:val="24"/>
          <w:szCs w:val="24"/>
          <w:lang w:val="mn-MN"/>
        </w:rPr>
        <w:t xml:space="preserve">хамрагдаж, нийт </w:t>
      </w:r>
      <w:r>
        <w:rPr>
          <w:rFonts w:ascii="Arial" w:hAnsi="Arial"/>
          <w:sz w:val="24"/>
          <w:szCs w:val="24"/>
        </w:rPr>
        <w:t xml:space="preserve">32 байгууллагад  </w:t>
      </w:r>
      <w:r>
        <w:rPr>
          <w:rFonts w:ascii="Arial" w:hAnsi="Arial"/>
          <w:sz w:val="24"/>
          <w:szCs w:val="24"/>
          <w:lang w:val="mn-MN"/>
        </w:rPr>
        <w:t>з</w:t>
      </w:r>
      <w:r>
        <w:rPr>
          <w:rFonts w:ascii="Arial" w:hAnsi="Arial"/>
          <w:sz w:val="24"/>
          <w:szCs w:val="24"/>
        </w:rPr>
        <w:t>өрчилгүй дүгнэлтийг өгсөн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z w:val="24"/>
          <w:szCs w:val="24"/>
        </w:rPr>
        <w:tab/>
        <w:t xml:space="preserve">Эрүүл мэндийн даатгалын сангийн </w:t>
      </w:r>
      <w:r>
        <w:rPr>
          <w:rFonts w:ascii="Arial" w:hAnsi="Arial"/>
          <w:sz w:val="24"/>
          <w:szCs w:val="24"/>
        </w:rPr>
        <w:t xml:space="preserve">2018 оны санхүүгийн нэгтгэсэн тайланд 3 тайлан нэгтгэгдэн дүгнэлт гарсан </w:t>
      </w:r>
      <w:r>
        <w:rPr>
          <w:rFonts w:ascii="Arial" w:hAnsi="Arial"/>
          <w:sz w:val="24"/>
          <w:szCs w:val="24"/>
          <w:lang w:val="mn-MN"/>
        </w:rPr>
        <w:t>бөгөөд ау</w:t>
      </w:r>
      <w:r>
        <w:rPr>
          <w:rFonts w:ascii="Arial" w:hAnsi="Arial"/>
          <w:sz w:val="24"/>
          <w:szCs w:val="24"/>
        </w:rPr>
        <w:t xml:space="preserve">дитаар 2 байгууллагад </w:t>
      </w:r>
      <w:r>
        <w:rPr>
          <w:rFonts w:ascii="Arial" w:hAnsi="Arial"/>
          <w:sz w:val="24"/>
          <w:szCs w:val="24"/>
          <w:lang w:val="mn-MN"/>
        </w:rPr>
        <w:t>з</w:t>
      </w:r>
      <w:r>
        <w:rPr>
          <w:rFonts w:ascii="Arial" w:hAnsi="Arial"/>
          <w:sz w:val="24"/>
          <w:szCs w:val="24"/>
        </w:rPr>
        <w:t xml:space="preserve">өрчилгүй, 1 байгууллагад  </w:t>
      </w:r>
      <w:r>
        <w:rPr>
          <w:rFonts w:ascii="Arial" w:hAnsi="Arial"/>
          <w:sz w:val="24"/>
          <w:szCs w:val="24"/>
          <w:lang w:val="mn-MN"/>
        </w:rPr>
        <w:t>х</w:t>
      </w:r>
      <w:r>
        <w:rPr>
          <w:rFonts w:ascii="Arial" w:hAnsi="Arial"/>
          <w:sz w:val="24"/>
          <w:szCs w:val="24"/>
        </w:rPr>
        <w:t>язгаарлалттай дүгнэлтийг өгсөн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rPr>
        <w:tab/>
        <w:t xml:space="preserve">Аудитаар нийт 436,1 тэрбум төгрөгийн 28 алдаа, зөрчил илрүүлснээс 294,6 тэрбум төгрөгийн 1 алдааг аудитын явцад залруулж, 641.3 сая төгрөгийн зөрчилд 3 акт тогтоож, 1,5 тэрбум төгрөгийн зөрчлийг арилгах 7 албан шаардлага </w:t>
      </w:r>
      <w:r>
        <w:rPr>
          <w:rFonts w:ascii="Arial" w:hAnsi="Arial"/>
          <w:sz w:val="24"/>
          <w:szCs w:val="24"/>
          <w:lang w:val="mn-MN"/>
        </w:rPr>
        <w:t>хүргүүлж ажилласан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lang w:val="mn-MN"/>
        </w:rPr>
        <w:tab/>
        <w:t xml:space="preserve">Анхаарал хандуулсан та бүхэнд баярлалаа.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lang w:val="mn-MN"/>
        </w:rPr>
        <w:tab/>
      </w:r>
      <w:r>
        <w:rPr>
          <w:rFonts w:ascii="Arial" w:hAnsi="Arial"/>
          <w:b/>
          <w:bCs/>
          <w:sz w:val="24"/>
          <w:szCs w:val="24"/>
          <w:lang w:val="mn-MN"/>
        </w:rPr>
        <w:t>Ц.Цогзолмаа</w:t>
      </w:r>
      <w:r>
        <w:rPr>
          <w:rFonts w:ascii="Arial" w:hAnsi="Arial"/>
          <w:sz w:val="24"/>
          <w:szCs w:val="24"/>
          <w:lang w:val="mn-MN"/>
        </w:rPr>
        <w:t>: Аудитын дүгнэлтийг сонслоо. Би хуралдаанд оролцож байгаа ажлын хэсгийн гишүүдийг танилцуулъя.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lang w:val="mn-MN"/>
        </w:rPr>
        <w:tab/>
        <w:t xml:space="preserve">Сангийн сайд Ч.Хүрэлбаатар, </w:t>
      </w:r>
      <w:r>
        <w:rPr>
          <w:rFonts w:ascii="Arial" w:cs="Arial" w:hAnsi="Arial"/>
          <w:i w:val="false"/>
          <w:iCs w:val="false"/>
          <w:color w:val="000000"/>
          <w:sz w:val="24"/>
          <w:szCs w:val="24"/>
          <w:shd w:fill="FFFFFF" w:val="clear"/>
          <w:lang w:val="mn-MN"/>
        </w:rPr>
        <w:t xml:space="preserve">Нийгмийн хамгаалал, хөдөлмөрийн сайд С.Чинзориг,  Боловсрол, соёл, шинжлэх ухаан спортын сайд Ё.Баатарбилэг, Эрүүл мэндийн дэд сайд Бямбасүрэн, </w:t>
      </w:r>
      <w:r>
        <w:rPr>
          <w:rFonts w:ascii="Arial" w:hAnsi="Arial"/>
          <w:sz w:val="24"/>
          <w:szCs w:val="24"/>
          <w:lang w:val="mn-MN"/>
        </w:rPr>
        <w:t xml:space="preserve">Сангийн яамны Төрийн сангийн газрын дарга М.Батхуяг, </w:t>
      </w:r>
      <w:r>
        <w:rPr>
          <w:rFonts w:ascii="Arial" w:cs="Arial" w:hAnsi="Arial"/>
          <w:i w:val="false"/>
          <w:iCs w:val="false"/>
          <w:color w:val="000000"/>
          <w:sz w:val="24"/>
          <w:szCs w:val="24"/>
          <w:shd w:fill="FFFFFF" w:val="clear"/>
          <w:lang w:val="mn-MN"/>
        </w:rPr>
        <w:t xml:space="preserve"> мөн яамны Санхүүгийн бодлогын газрын дарга Ц.Зоригтбат, Эдийн засгийн бодлогын газрын дарга Г.Батхүрэл, Төсвийн хөрөнгө оруулалтын газрын дарга Г.Түвдэндорж,  Санхүүжилт, тайлан бүртгэлийн хэлтсийн дарга Н.Мөнхсүх, </w:t>
      </w:r>
      <w:r>
        <w:rPr>
          <w:rFonts w:ascii="Arial" w:cs="Arial" w:hAnsi="Arial"/>
          <w:i w:val="false"/>
          <w:iCs w:val="false"/>
          <w:color w:val="333333"/>
          <w:sz w:val="24"/>
          <w:szCs w:val="24"/>
          <w:shd w:fill="FFFFFF" w:val="clear"/>
          <w:lang w:val="mn-MN"/>
        </w:rPr>
        <w:t>Монгол Улсын Ерөнхий аудиторын орлогч бөгөөд тэргүүлэх аудитор С.Оюунбилэг,   Үндэсний аудитын газрын Санхүүгийн аудитын газрын захирал бөгөөд тэргүүлэх аудитор Ц.Наранчимэг,</w:t>
      </w:r>
      <w:r>
        <w:rPr>
          <w:rFonts w:ascii="Arial" w:cs="Arial" w:hAnsi="Arial"/>
          <w:i w:val="false"/>
          <w:iCs w:val="false"/>
          <w:color w:val="000000"/>
          <w:sz w:val="24"/>
          <w:szCs w:val="24"/>
          <w:shd w:fill="FFFFFF" w:val="clear"/>
          <w:lang w:val="mn-MN"/>
        </w:rPr>
        <w:t xml:space="preserve"> мөн  газрын Гүйцэтгэлийн аудитын газрын захирал бөгөөд тэргүүлэх аудитор Б.Мөнх-Очир, Нийцлийн аудитын газрын захирал бөгөөд тэргүүлэх аудитор С.Энхбаатар, Үндэсний аудитын газрын Санхүүгийн аудитын газрын аудитын менежер Я.Самбууням, Г.Гүнжидмаа, Г.Оюунгэрэл, Д.Хаш-Эрдэнэ,  Б.Саруул, Б.Долгорсүрэн, Нийгмийн хамгаалал, хөдөлмөрийн яамны Төсвийн ерөнхийлөн захирагчийн Төсвийн ерөнхий нягтлан бодогч Ц.Эрдэнэтөгс, Хөдөлмөр, халамжийн үйлчилгээний ерөнхий газрын дарга Б.Нямдаваа, мөн газрын Ерөнхий нягтлан бодогч Б.Оюунбилэг, Халамжийн сангийн ахлах мэргэжилтэн Д.Билэгмаа, Нийгмийн даатгалын ерөнхий газрын дарга Д.Зоригт, мөн газрын Санхүү, бүртгэлийн газрын дарга Б.Даваахүү, Боловсрол, соёл, шинжлэх ухаан спортын яамны Санхүү, хөрөнгө оруулалтын газрын дарга С.Нансалмаа, Үйлдвэрлэлийн хэлтсийн дарга Ч.Энх-Амгалан, Эрүүл мэндийн яамны Хөрөнгө оруулалтын хэлтсийн дарга О.Эрдэнэбулган, мөн яамны Зээл тусламжийн бодлогын Хэрэгжилт, зохицуулалт хариуцсан ахлах мэргэжилтэн Л.Бямбасүрэн, Эрүүл мэндийн даатгалын ерөнхий газрын дарга Г.Баясгалан, Эрүүл мэндийн яамны ерөнхий нягтлан бодогч Х.Отгонзул нар ирсэн байна. Ажлын хэсгийнхнийг танилцууллаа.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t>2018 оны төсвийн гүйцэтгэл болон аудитын дүгнэлттэй холбогдуулан асуух асуулттай гишүүд нэрээ өгнө үү. Оюунчимэг гишүүнээр нэр тасалъя. Оюунчимэг гишүүн асуултаа асууя.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М.Оюунчимэг</w:t>
      </w:r>
      <w:r>
        <w:rPr>
          <w:rFonts w:ascii="Arial" w:cs="Arial" w:hAnsi="Arial"/>
          <w:i w:val="false"/>
          <w:iCs w:val="false"/>
          <w:color w:val="000000"/>
          <w:sz w:val="24"/>
          <w:szCs w:val="24"/>
          <w:shd w:fill="FFFFFF" w:val="clear"/>
          <w:lang w:val="mn-MN"/>
        </w:rPr>
        <w:t>: Би Чинзориг сайдаас асууя, өчигдөр хэлж байсан, оройтчихсон, өнөөдөр ахмадуудтайгаа уулзлаа.  10 сарын 1-нээс тэтгэврийн зээлийн хүүг 12 сар хүртэлх хугацааг 10 хувь болгоод бууруулсан гээд шийдвэр гарчхаад байна. Мэдээж 2016 оноос хойш тэтгэврийн зээлийн хүүг үе шаттай бууруулах арга хэмжээг аваад байгаа. 18 байсан, 15 болсон, одоо 12 сар хүртэл нь  10 хувь боллоо гээд ингээд төр, засгийн шийдвэр нь гарчхаад байдаг. Гэтэл энэ шийдвэр маань тэр доод шат уруугаа хүрч хэрэгжихгүй байна. Арилжааны банкууд дээр энэ тэтгэврийн зээл өгч байгаа банкууд дээр энэ нь одоо манай банкан дээр хэрэгжээгүй байгаа гээд ингээд яваад, огт тэр банкан дээр хэрэгжихгүй байна. Яагаад энэ гарсан шийдвэр тэр хэрэгжих ёстой шатан дээрээ гацаад байна, хаана нь зохион байгуулалтын алдаа гараад байгаа юм бол? Энэ дээр үнэхээр тодорхой болгож өгөхгүй бол худлаа мэдээлэл олон нийтэд тараагаад байгаа юм шиг тийм ойлголт өгөөд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t>Тэгэхээр Чинзориг сайд аа, 2018 онд энэ гүйцэтгэлээс ч харахад тэтгэврийн зээлийн хүүг бууруулах арга хэмжээнүүд аваад байна. Ганц тэтгэвэр ч биш, тэтгэвэр, цалин гээд бүгд л ярьж байна. Яг энэ тэтгэвэр дээр та тодорхой хариулт өгөөч. Өнөөдөр энэ  223 мянган ахмадууд маань ингээд нүдээ бүлтийлгээд хараад сууж байна л даа. 71 хувь нь тэтгэврийн зээлтэй байна. Тэгэхээр энэ яагаад тэр шатандаа хүрч үйлчилж, шийдвэр хэрэгжихгүй байна вэ гэдэг дээр хариулт авахыг хүсэж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Ц.Цогзолмаа</w:t>
      </w:r>
      <w:r>
        <w:rPr>
          <w:rFonts w:ascii="Arial" w:cs="Arial" w:hAnsi="Arial"/>
          <w:i w:val="false"/>
          <w:iCs w:val="false"/>
          <w:color w:val="000000"/>
          <w:sz w:val="24"/>
          <w:szCs w:val="24"/>
          <w:shd w:fill="FFFFFF" w:val="clear"/>
          <w:lang w:val="mn-MN"/>
        </w:rPr>
        <w:t>: Чинзориг сайд асуултад хариулъя.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С.Чинзориг</w:t>
      </w:r>
      <w:r>
        <w:rPr>
          <w:rFonts w:ascii="Arial" w:cs="Arial" w:hAnsi="Arial"/>
          <w:i w:val="false"/>
          <w:iCs w:val="false"/>
          <w:color w:val="000000"/>
          <w:sz w:val="24"/>
          <w:szCs w:val="24"/>
          <w:shd w:fill="FFFFFF" w:val="clear"/>
          <w:lang w:val="mn-MN"/>
        </w:rPr>
        <w:t xml:space="preserve">: Тэтгэврийн зээлийг бид хэр чадлаараа л үе шаттай бууруулах арга хэмжээ аваад байна. Өчигдөр чуулган дээр ч ярьсан. Тэтгэврийн зээлийн 2 төрлийн үйлчилгээ байгаад байгаа юм. Намайг сайдаар томилогдоход 6 сарын хугацаатай тэтгэвэр барьцаалсан зээлийн хүү 15 хувьтай байсан, үүнийг нь өөрчлөөд хугацааг нь 1 жил болгоод, хүүг нь 10 хувьтай болгосон байгаа, 5 пунктээр буулгасан. Өчигдрөөс эхлээд 2 дахь зээлийн төрөл буюу 24 ба түүнээс дээш сарын хугацаатай тэтгэврийн зээл нь 18 хувь байгааг бид энэ оны  10 дугаар сарын 1-нээс эхлээд 15.6 хувьд хүргэе. Ирэх оны 1 дүгээр сарын 1-нээс эхлээд 13 хувьд хүргэх гэсэн ийм чиглэлээр арилжааны банкуудтай нэлээн удаан хугацаанд уулзаж, ярилцаж байж, нэгдсэн ойлголтод хүрсэн.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t>Тэгэхээр энэ бол Оюунчимэг гишүүн ээ, 2 жилийн хугацаатай 18 хувийн хүүтэй тэтгэвэр авчихсан байгаа иргэдийн тэтгэврийн зээлийг 15.6 хувь болгох асуудал биш шүү дээ. Шинээр 2 жилийн хугацаатай тэтгэвэр авч байгаа иргэд өөрсдөө хүсвэл 15.6 хувийн хүүтэй тэтгэвэр авах юм. Одоогийн 2 жилийн хугацаатай 18 хувийн тэтгэврийн зээл авчихсан байгаа иргэд бол наад зээлээ шинээр тэр зээлийн хүү уруу авсан зээлээ төлж байж, шинэ зээлийн хүү уруу шилжих л ийм асуудал. Түүнээс арилжааны банкуудад одоо гэрээ байгуулаад өгчихсөн 2 жилийн хугацаатай байгаа 18 хувийн хүүтэй зээл авчихсан иргэд энэ зээлээ төлж байж, шинэ зээлийн хүү уруу шилжинэ. Би тэгж ойлгож байгаа. Манай Зоригт дарга ирсэн байгаа, энэ дээр нэмэлт тайлбар хэлнэ, нэг дэх асуудал.</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t>Хоёр дахь асуудал, арилжааны банк, Монголбанктай би сүүлийн 2 жил нэлээн хэрүүл хийж байгаа. Ер нь иргэдийн энэ шууд орлогоор нь барьцаалан, цалин, тэтгэврээр нь барьцаалан зээл  олгодог энэ үйлчилгээгээ эргэж хараач ээ гэдэг асуудлыг бас нэлээн шахаж шаардаж байгаа. Ер нь бусад орнууд энэ иргэдийнхээ бодит орлогоор нь шууд барьцаалаад, зээл олгодог ийм үйлчилгээ үзүүлэх нь эдийн засгийн агуулгаараа тийм зөв оновчтой бүтээгдэхүүн бишээ. Цалин, тэтгэвэр гэдэг бол тухайн иргэний сарынх нь амьжиргааны эх үүсвэр болох асуудал байхаас биш банкны барьцаа болох эдийн засгийн тийм агуулга уг нь байхгүй байгаа юм. Манай арилжааны банкууд хамгийн хялбар үйлчилгээ нь найдвартай төлөгддөг учраас сарынх нь тэтгэврээр барьцаалаад зээл өгөөд байгаа ийм асуудлууд байгаа юм. Ер нь цаашдаа би арилжааны банк, Монголбанкинд энэ зээлийнхээ бүтээгдэхүүний үйлчилгээг эргэж хараач ээ. Ядаж хугацааг нь бууруулаач ээ, ядаж нөхцөлийг нь өөрчлөөч ээ гэдэг шахалт шаардлагыг байнга тавьж байгаа.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t>Өнгөрсөн жил бидний энэ шахалт шаардлагыг Монголбанк нэлээн хүлээж авсан. Хэрэглээний зээлийг хумих, хугацааг нь богиносгох, зээлийн хүүг нь бууруулах, нөхцөлийг нь сайжруулах ийм чиглэлээр арга хэмжээ авч байгаа. Энэ 10 сарын 1-нээс хэрэгжих гэж байгаа тэтгэврийн зээлийн хүүгийн бууралттай холбоотой асуудлаар манай Нийгмийн даатгалын ерөнхий газар, ХААН банк, Төрийн банкны удирдлагуудтай уулзаж санамж бичиг байгуулж зурж байгаа. Ингээд энэ өнөө маргаашнаас энэ шинэ төрлийн үйлчилгээ нь гарах байх гэж бодож байна. Зоригт дарга нэмээд тайлбар хэлэх байх.</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Ц.Цогзолмаа</w:t>
      </w:r>
      <w:r>
        <w:rPr>
          <w:rFonts w:ascii="Arial" w:cs="Arial" w:hAnsi="Arial"/>
          <w:i w:val="false"/>
          <w:iCs w:val="false"/>
          <w:color w:val="000000"/>
          <w:sz w:val="24"/>
          <w:szCs w:val="24"/>
          <w:shd w:fill="FFFFFF" w:val="clear"/>
          <w:lang w:val="mn-MN"/>
        </w:rPr>
        <w:t>: Зоригт дарга 7 дугаар микрофон дээр очоод суугаарай, нэмэлт тайлбар өгье.</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Д</w:t>
      </w:r>
      <w:r>
        <w:rPr>
          <w:rFonts w:ascii="Arial" w:cs="Arial" w:hAnsi="Arial"/>
          <w:i w:val="false"/>
          <w:iCs w:val="false"/>
          <w:color w:val="000000"/>
          <w:sz w:val="24"/>
          <w:szCs w:val="24"/>
          <w:shd w:fill="FFFFFF" w:val="clear"/>
          <w:lang w:val="mn-MN"/>
        </w:rPr>
        <w:t>.</w:t>
      </w:r>
      <w:r>
        <w:rPr>
          <w:rFonts w:ascii="Arial" w:cs="Arial" w:hAnsi="Arial"/>
          <w:b/>
          <w:bCs/>
          <w:i w:val="false"/>
          <w:iCs w:val="false"/>
          <w:color w:val="000000"/>
          <w:sz w:val="24"/>
          <w:szCs w:val="24"/>
          <w:shd w:fill="FFFFFF" w:val="clear"/>
          <w:lang w:val="mn-MN"/>
        </w:rPr>
        <w:t>Зоригт</w:t>
      </w:r>
      <w:r>
        <w:rPr>
          <w:rFonts w:ascii="Arial" w:cs="Arial" w:hAnsi="Arial"/>
          <w:i w:val="false"/>
          <w:iCs w:val="false"/>
          <w:color w:val="000000"/>
          <w:sz w:val="24"/>
          <w:szCs w:val="24"/>
          <w:shd w:fill="FFFFFF" w:val="clear"/>
          <w:lang w:val="mn-MN"/>
        </w:rPr>
        <w:t>: Сайн байцгаана уу. Өнөөдөр улсын хэмжээнд 417 мянган тэтгэвэр авагч байгаа, үүний 56 хувь буюу 230 орчим мянган тэтгэвэр авагч нь тэтгэврийн зээлтэй байгаа. Энэ нийт 230 мянган тэтгэвэр авагчийн зээлийнх нь хэмжээ улсын хэмжээнд 844 тэрбум төгрөгийн зээл байгаа. Тэгээд энэ их хөрөнгийг банкуудтай бид нар ярьсан. Үүнийг шууд  10  хувь юм уу, 15.6 хувь уруу шилжүүлэх боломжгүй, Чинзориг сайдын хэлснээр.  Өнөөдрөөс эхлээд шинээр зээл авч байгаа хүмүүс бол 15.6 хувьтайгаар 24 сар хүртэлх зээлийг авах юм.</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t>Нэмээд нэг мэдээлэл өгөхөд 1 жил хүртэлх, 12 сар хүртэлх хугацаатай тэтгэврийн зээлийг өнөөдрийн байдлаар 123 мянган тэтгэвэр авагч авсан байна. Өчигдрөөс эхлээд энэ  18 хувийг 15.6 болгосон тэтгэврийн зээлийн хүүгээр Төрийн банк болон бусад банкууд өгч байгаа. ХААН банк маргаашнаас эхлээд өгөх гэж байгаа. Энэ  программын өөрчлөлтүүд ХААН банкан дээр хийгдэж байгаа.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Ц.Цогзолмаа</w:t>
      </w:r>
      <w:r>
        <w:rPr>
          <w:rFonts w:ascii="Arial" w:cs="Arial" w:hAnsi="Arial"/>
          <w:i w:val="false"/>
          <w:iCs w:val="false"/>
          <w:color w:val="000000"/>
          <w:sz w:val="24"/>
          <w:szCs w:val="24"/>
          <w:shd w:fill="FFFFFF" w:val="clear"/>
          <w:lang w:val="mn-MN"/>
        </w:rPr>
        <w:t>: Зоригт даргад баярлалаа. Оюунчимэг гишүүн тодруулъя.</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М.Оюунчимэг</w:t>
      </w:r>
      <w:r>
        <w:rPr>
          <w:rFonts w:ascii="Arial" w:cs="Arial" w:hAnsi="Arial"/>
          <w:i w:val="false"/>
          <w:iCs w:val="false"/>
          <w:color w:val="000000"/>
          <w:sz w:val="24"/>
          <w:szCs w:val="24"/>
          <w:shd w:fill="FFFFFF" w:val="clear"/>
          <w:lang w:val="mn-MN"/>
        </w:rPr>
        <w:t xml:space="preserve">: Ингэж  10 хувь болгож бууруулж өгч байгаа нь сайн хэрэг. Чинзориг сайд, Зоригт дарга ч гэсэн анхаарахгүй бол шинээр тэтгэврийн зээл авах хүн чинь бараг байхгүй байгаа шүү дээ. Тэр сая хэллээ 230 мянган иргэн гэдэг 71 хувь нь өөрөө тэтгэврийн зээлтэй, энэ хүмүүс маань л үүнийг хөнгөлөөд өгөөч, нуруун дээрх ачааг маань буулгаад өгөөч гэж яриад байна л даа. Тэгэхээр энэ дээр л бодлогоо гаргаж, энэ уруу анхаарч ажиллахгүй бол тэтгэврийн зээл шинээр зээл авах хүмүүс бараг байхгүй байна шүү дээ. Тэтгэвэрт шинээр гарч байгаа хүмүүс л авах байх. Гэтэл тэр 71 хувь маань өөрөө тэтгэврийн зээлэндээ дарагдаад, үнэхээр гар дээр нь юм очихгүй, шууд зээлэнд нь явж байна. Тэгэхээр энэ дээр арга хэмжээ авах талаар бодолцооч гэж хэлмээр байна.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Ц.Цогзолмаа</w:t>
      </w:r>
      <w:r>
        <w:rPr>
          <w:rFonts w:ascii="Arial" w:cs="Arial" w:hAnsi="Arial"/>
          <w:i w:val="false"/>
          <w:iCs w:val="false"/>
          <w:color w:val="000000"/>
          <w:sz w:val="24"/>
          <w:szCs w:val="24"/>
          <w:shd w:fill="FFFFFF" w:val="clear"/>
          <w:lang w:val="mn-MN"/>
        </w:rPr>
        <w:t>: Чинзориг сайд нэмэлт тайлбар өгье.</w:t>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С.Чинзориг</w:t>
      </w:r>
      <w:r>
        <w:rPr>
          <w:rFonts w:ascii="Arial" w:cs="Arial" w:hAnsi="Arial"/>
          <w:i w:val="false"/>
          <w:iCs w:val="false"/>
          <w:color w:val="000000"/>
          <w:sz w:val="24"/>
          <w:szCs w:val="24"/>
          <w:shd w:fill="FFFFFF" w:val="clear"/>
          <w:lang w:val="mn-MN"/>
        </w:rPr>
        <w:t xml:space="preserve">: Гишүүд зөв ойлгох байхаа гэж бодож байна. Тэтгэвэр барьцаалсан зээлийг Засгийн газар юм уу, Нийгмийн даатгалын ерөнхий газар тэтгэвэр барьцаалсан зээл олгоод байгаа асуудал байхгүй, энэ бол цэвэр арилжааны банкны бүтээгдэхүүн шүү дээ. Засгийн газар тэр дотроо манай яам бол арилжааны банкны олгож байгаа зээлийн хүүг бууруулахад оролцох оролцоо, тийм потенциал, хүчин чадал, хууль эрх зүйн үндэс байхгүй. Бид яагаад одоо оролцоод байна вэ гэхээр, Нийгмийн даатгалын сангаас тэтгэвэр авч байгаа иргэд маань өөрсдөө тэтгэврээ барьцаалж зээл авчхаад, тэгээд сүүлд нь ингээд тэтгэврийн хүүг бууруулаач гээд ингээд хүсэлт, шаардлага тавиад байдаг учраас бид нар өөрийн эрхгүй энэ уруу оролцоод, хэр боломжоороо Монголбанканд шахалт шаардлага үзүүлж ажиллаж байгаа, арилжааны банкуудтайгаа бас шахалт шаардлага үзүүлж ажиллаж байгаа ийм л оролцоо байгаа юм.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t>Ер нь цаашдаа иргэдийн шууд орлогоор нь барьцаалан зээл олгодог энэ үйлчилгээг та бүхэн эргэж хар гэсэн ийм шахалт шаардлагыг би байнга банкуудад хэлдэг.</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Ц.Цогзолмаа:</w:t>
      </w:r>
      <w:r>
        <w:rPr>
          <w:rFonts w:ascii="Arial" w:cs="Arial" w:hAnsi="Arial"/>
          <w:i w:val="false"/>
          <w:iCs w:val="false"/>
          <w:color w:val="000000"/>
          <w:sz w:val="24"/>
          <w:szCs w:val="24"/>
          <w:shd w:fill="FFFFFF" w:val="clear"/>
          <w:lang w:val="mn-MN"/>
        </w:rPr>
        <w:t xml:space="preserve"> Баярлалаа.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t>Гишүүд асуулт асууж дууслаа. Одоо Монгол Улсын 2018 оны төсвийн гүйцэтгэл болон аудитын дүгнэлттэй холбоотой санал, үг хэлэх гишүүд байна уу, нэрээ өгнө үү?</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t>Байхгүй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t>Ингээд өнөөдрийн Нийгмийн бодлого, боловсрол, соёл, шинжлэх ухааны байнгын хорооны  2019 оны  10 дугаар сарын 2-ны өдрийн хуралдаанаар Улсын Их Хурлын чуулганы хуралдааны дэгийн тухай хуулийн 26.4.2-т, хоёр дахь хэлэлцүүлгээр бүх Байнгын хороо, нам, эвслийн бүлэг төсвийн гүйцэтгэлийг хэлэлцэж, гарсан санал, дүгнэлтийг томьёолон Төсвийн зарлагын хяналтын дэд хороонд өгөх ба тус Дэд хороо эдгээр санал, дүгнэлтийг сонсож, нэгтгэн гаргасан санал, дүгнэлтээ нэгдсэн хуралдаанд оруулна гэж заасны дагуу манай Байнгын хорооны гишүүдээс гаргасан саналуудыг нэгтгэж, санал, дүгнэлтээ Төсвийн зарлагын дэд хороонд хүргүүлэх ёстой. Төсвийн зарлагын хяналтын дэд хороонд хүргүүлье.</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t>Энэ Байнгын хорооны санал, дүгнэлтийг  Төсвийн зарлагын хяналтын дэд хороонд Улсын Их Хурлын гишүүн Цогзолмаа танилцуулахаар тогтов.</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t>Ингээд Байнгын хорооны өнөөдрийн хуралдаан дууслаа. Хуралдаанд идэвхтэй оролцсон гишүүддээ баярлалаа.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t>Дууны бичлэгээс буулгасан:</w:t>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t>Протоколын албаны</w:t>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t xml:space="preserve">шинжээч </w:t>
        <w:tab/>
        <w:tab/>
        <w:tab/>
        <w:tab/>
        <w:tab/>
        <w:tab/>
        <w:tab/>
        <w:t>Д.ЦЭНДСҮРЭН</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cs="Arial" w:hAnsi="Arial"/>
          <w:i w:val="false"/>
          <w:iCs w:val="false"/>
          <w:color w:val="000000"/>
          <w:sz w:val="24"/>
          <w:szCs w:val="24"/>
          <w:shd w:fill="FFFFFF" w:val="clear"/>
          <w:lang w:val="mn-MN"/>
        </w:rPr>
        <w:tab/>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rPr>
        <w:tab/>
        <w:t xml:space="preserve">Хэлэлцэж буй асуудалтай холбогдуулан УИХ-ын гишүүн М.Оюунчимэг асуулт асуусан. Тэрбээр, тэтгэврийн зээлийн хүүг 10 дугаар сарын </w:t>
      </w:r>
      <w:r>
        <w:rPr>
          <w:rFonts w:ascii="Arial" w:hAnsi="Arial"/>
          <w:sz w:val="24"/>
          <w:szCs w:val="24"/>
          <w:lang w:val="mn-MN"/>
        </w:rPr>
        <w:t>1-ний</w:t>
      </w:r>
      <w:r>
        <w:rPr>
          <w:rFonts w:ascii="Arial" w:hAnsi="Arial"/>
          <w:sz w:val="24"/>
          <w:szCs w:val="24"/>
        </w:rPr>
        <w:t xml:space="preserve"> өдрөөс эхлэн бууруулсан гэсэн шийдвэр гарсан атал энэ шийдвэр банкин дээр хэрэгжихгүй байгаа нь ямар учиртай вэ хэмээн лавласан.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rPr>
        <w:tab/>
        <w:t>Хөдөлмөр, нийгмийн хамгааллын сайд С.Чинзориг, Нийгмийн даатгалын ерөнхий газрын дарга Д.Зоригт нарын мэдээлснээр, Ахмадуудын тэтгэврийн зээлийн дарамтыг бууруулах ажлын хүрээнд 2017 онд жилийн 18 хувийн хүүтэй байсан тэтгэвэр барьцаалсан зээлийн хүүг 15, 2018 онд 12 хувь болгон бууруулсан бол энэ оны нэгдүгээр сарын 16-наас эхлэн тэтгэвэр барьцаалсан зээлийн хүүг 10 хувь болгон бууруулсан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rPr>
        <w:tab/>
        <w:t>Гэвч бага хүүтэй зээлийг зөвхөн 12 сар хүртэлх хугацаагаар тэтгэврийн зээл авч буй ахмадуудад олгож байсан учраас тэтгэвэр авагчдаас урт хугацаатай зээлийн хүүг бууруулах хүсэлтийг удаа дараа гаргажээ.</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rPr>
        <w:tab/>
        <w:t>Иргэдээс ирсэн хүсэлтийг харгалзан 10 дугаар сарын 1-ний өдрөөс</w:t>
        <w:tab/>
        <w:t>эхлэн 18 хувийн хүүтэй олгож байсан зээлийн хүүг 15.6 хувь болгон бууруулахаар болжээ. Түүнчлэн 2020 оны 01 дүгээр сараас зээлийн хүүг дахин 2.6 пунктээр бууруулж 13.0 хувь болгохоор арилжааны банкуудтай харилцан тохиролцоод буй аж. Харин 12 сар хүртэлх хугацаатай зээлийн тухайд 10 хувийн хүүтэйгээр олгох ажлыг үргэлжлүүлнэ гэлээ.</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rPr>
        <w:tab/>
        <w:t>Энэ зээлийн хүүгийн хөнгөлөлт одоо зээлтэй байгаа иргэдэд хамаарахгүй бөгөөд шинээр тэтгэврийн зээл авах ахмад настнууд дээрх бууруулсан хүүтэйгээр тэтгэврийн зээл авах боломжтой болж буй юм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rPr>
        <w:tab/>
        <w:t>Манай улсад нийт 417 мянган иргэн тэтгэвэр авч байгаагийн 56 хувь нь буюу 230 мянган иргэн тэтгэврийн зээл аваад буй бөгөөд нийтийн зээлийн хэмжээ нь 844 тэрбум төгрөг байгаа юм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rPr>
        <w:tab/>
        <w:t>Урт хугацааны тэтгэврийн зээлийг 18 хувиас буруулан 15.6 хувийн хүүтэйгээр Төрийн банк олгож эхэлсэн бөгөөд “Хаан” банк программын шинэчлэлээ хийж дуусган 10 дугаар сарын 3-ны өдрөөс олгож эхэлнэ хэмээн Нийгмийн даатгалын ерөнхий газрын дарга мэдээлсэн. Хэлэлцэж буй асуудалтай холбогдуулан санал хэлэх гишүүн гараагүй бөгөөд тус Байнгын хорооны санал, дүгнэлтээ Төсвийн зарлагын хяналтын дэд хороонд хүргүүлэхээр тогтлоо.</w:t>
      </w:r>
    </w:p>
    <w:p>
      <w:pPr>
        <w:pStyle w:val="style0"/>
        <w:spacing w:after="0" w:before="0" w:line="200" w:lineRule="atLeast"/>
        <w:contextualSpacing w:val="false"/>
        <w:jc w:val="both"/>
      </w:pPr>
      <w:r>
        <w:rPr/>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rPr>
        <w:t>нийт 224 тайлан нэгтгэгдсэнээс 103 байгууллагад дүгнэлт гаргаж, 117 байгууллага түүвэрт хамрагдан, 2 байгууллагад итгэл үзүүлж, 2 байгууллага аудитад хамрагдаагүй байна. Дүгнэлт гаргасан 103 байгууллагаас 88 байгууллагад "Зөрчилгүй”, 14 байгууллагад “Хязгаарлалттай”, 1 байгууллагад “Сөрөг” дүгнэлт өгсөн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rPr>
        <w:tab/>
        <w:t>Боловсрол, Соёл, Шинжлэх ухаан, Спортын сайдын эрхлэх асуудлын хүрээний байгууллагуудын 2018 оны санхүүгийн нэгтгэсэн тайлан, төсвийн гүйцэтгэлд хийсэн аудитаар нийт 376,6 тэрбум төгрөгийн 361 алдаа зөрчил илрүүлснээс 2,6 тэрбум төгрөгийн 18 алдаа зөрчлийг залруулж, 125.2 сая төгрөгийн 3 зөрчлийг хууль хяналтын байгууллагад шилжүүлж, 299.4 сая төгрөгийн 29 төлбөрийн акт тогтоожээ.</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color w:val="000000"/>
          <w:sz w:val="24"/>
          <w:szCs w:val="24"/>
        </w:rPr>
        <w:tab/>
        <w:t xml:space="preserve">Хөдөлмөр, нийгмийн хамгааллын сайдын </w:t>
      </w:r>
      <w:r>
        <w:rPr>
          <w:rFonts w:ascii="Arial" w:hAnsi="Arial"/>
          <w:sz w:val="24"/>
          <w:szCs w:val="24"/>
        </w:rPr>
        <w:t>эрхлэх асуудлын хүрээний байгууллагуудын санхүүгийн нэгтгэсэн тайланд нийт 185 байгууллагын тайлан нэгтгэгдсэнээс 146 байгууллагад дүгнэлт гаргаж, 29 байгууллага түүвэрт хамрагдан, 5 байгууллагад итгэл үзүүлж, 5 байгууллага аудитад хамрагдаагүй байна. Дүгнэлт гаргасан 146 байгууллагаас 124 байгууллагад “Зөрчилгүй”, 21 байгууллагад “Хязгаарлалттай”, 1 байгууллагад “Сөрөг" дүгнэлт өгсөн байна.</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sz w:val="24"/>
          <w:szCs w:val="24"/>
        </w:rPr>
        <w:tab/>
        <w:t>Хөдөлмөр, нийгмийн хамгааллын сайдын эрхлэх асуудлын хүрээний байгууллагуудын 2018 оны санхүүгийн нэгтгэсэн тайланд хийсэн аудитаар нийт 17,1 тэрбум төгрөгийн 357 алдаа, зөрчил илэрснээс 3 тэрбум төгрөгийн 31 алдааг санхүүгийн тайланд залруулж, 95.7 сая төгрөгийн 63 акт, 4,8 тэрбум төгрөгийн 74 албан шаардлага тогтоож, хариуцлага тооцуулах 22 саналыг хүргүүлжээ.</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
    </w:p>
    <w:sectPr>
      <w:footerReference r:id="rId2" w:type="default"/>
      <w:type w:val="nextPage"/>
      <w:pgSz w:h="16838" w:w="11906"/>
      <w:pgMar w:bottom="1693" w:footer="1134" w:gutter="0" w:header="0" w:left="2000" w:right="681"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 w:type="paragraph">
    <w:name w:val="Heading 1"/>
    <w:basedOn w:val="style19"/>
    <w:next w:val="style20"/>
    <w:pPr/>
    <w:rPr>
      <w:b/>
      <w:bCs/>
      <w:sz w:val="32"/>
      <w:szCs w:val="32"/>
    </w:rPr>
  </w:style>
  <w:style w:styleId="style2" w:type="paragraph">
    <w:name w:val="Heading 2"/>
    <w:basedOn w:val="style19"/>
    <w:next w:val="style20"/>
    <w:pPr>
      <w:numPr>
        <w:ilvl w:val="1"/>
        <w:numId w:val="1"/>
      </w:numPr>
      <w:outlineLvl w:val="1"/>
    </w:pPr>
    <w:rPr>
      <w:b/>
      <w:bCs/>
      <w:i/>
      <w:iCs/>
      <w:sz w:val="28"/>
      <w:szCs w:val="28"/>
    </w:rPr>
  </w:style>
  <w:style w:styleId="style3" w:type="paragraph">
    <w:name w:val="Heading 3"/>
    <w:basedOn w:val="style19"/>
    <w:next w:val="style20"/>
    <w:pPr>
      <w:numPr>
        <w:ilvl w:val="2"/>
        <w:numId w:val="1"/>
      </w:numPr>
      <w:outlineLvl w:val="2"/>
    </w:pPr>
    <w:rPr>
      <w:rFonts w:ascii="Times New Roman" w:cs="Mangal" w:eastAsia="SimSun" w:hAnsi="Times New Roman"/>
      <w:b/>
      <w:bCs/>
      <w:sz w:val="28"/>
      <w:szCs w:val="28"/>
    </w:rPr>
  </w:style>
  <w:style w:styleId="style4" w:type="paragraph">
    <w:name w:val="Heading 4"/>
    <w:basedOn w:val="style19"/>
    <w:next w:val="style20"/>
    <w:pPr>
      <w:numPr>
        <w:ilvl w:val="3"/>
        <w:numId w:val="1"/>
      </w:numPr>
      <w:outlineLvl w:val="3"/>
    </w:pPr>
    <w:rPr>
      <w:b/>
      <w:bCs/>
      <w:i/>
      <w:iCs/>
      <w:sz w:val="24"/>
      <w:szCs w:val="24"/>
    </w:rPr>
  </w:style>
  <w:style w:styleId="style5" w:type="paragraph">
    <w:name w:val="Heading 5"/>
    <w:basedOn w:val="style19"/>
    <w:next w:val="style20"/>
    <w:pPr>
      <w:numPr>
        <w:ilvl w:val="4"/>
        <w:numId w:val="1"/>
      </w:numPr>
      <w:outlineLvl w:val="4"/>
    </w:pPr>
    <w:rPr>
      <w:b/>
      <w:bCs/>
      <w:sz w:val="24"/>
      <w:szCs w:val="24"/>
    </w:rPr>
  </w:style>
  <w:style w:styleId="style6" w:type="paragraph">
    <w:name w:val="Heading 6"/>
    <w:basedOn w:val="style19"/>
    <w:next w:val="style20"/>
    <w:pPr>
      <w:numPr>
        <w:ilvl w:val="5"/>
        <w:numId w:val="1"/>
      </w:numPr>
      <w:outlineLvl w:val="5"/>
    </w:pPr>
    <w:rPr>
      <w:b/>
      <w:bCs/>
      <w:sz w:val="21"/>
      <w:szCs w:val="21"/>
    </w:rPr>
  </w:style>
  <w:style w:styleId="style7" w:type="paragraph">
    <w:name w:val="Heading 7"/>
    <w:basedOn w:val="style19"/>
    <w:next w:val="style20"/>
    <w:pPr>
      <w:numPr>
        <w:ilvl w:val="6"/>
        <w:numId w:val="1"/>
      </w:numPr>
      <w:outlineLvl w:val="6"/>
    </w:pPr>
    <w:rPr>
      <w:b/>
      <w:bCs/>
      <w:sz w:val="21"/>
      <w:szCs w:val="21"/>
    </w:rPr>
  </w:style>
  <w:style w:styleId="style8" w:type="paragraph">
    <w:name w:val="Heading 8"/>
    <w:basedOn w:val="style19"/>
    <w:next w:val="style20"/>
    <w:pPr>
      <w:numPr>
        <w:ilvl w:val="7"/>
        <w:numId w:val="1"/>
      </w:numPr>
      <w:outlineLvl w:val="7"/>
    </w:pPr>
    <w:rPr>
      <w:b/>
      <w:bCs/>
      <w:sz w:val="21"/>
      <w:szCs w:val="21"/>
    </w:rPr>
  </w:style>
  <w:style w:styleId="style9" w:type="paragraph">
    <w:name w:val="Heading 9"/>
    <w:basedOn w:val="style19"/>
    <w:next w:val="style20"/>
    <w:pPr>
      <w:numPr>
        <w:ilvl w:val="8"/>
        <w:numId w:val="1"/>
      </w:numPr>
      <w:outlineLvl w:val="8"/>
    </w:pPr>
    <w:rPr>
      <w:b/>
      <w:bCs/>
      <w:sz w:val="21"/>
      <w:szCs w:val="21"/>
    </w:rPr>
  </w:style>
  <w:style w:styleId="style15" w:type="character">
    <w:name w:val="Bullets"/>
    <w:next w:val="style15"/>
    <w:rPr>
      <w:rFonts w:ascii="OpenSymbol" w:cs="OpenSymbol" w:eastAsia="OpenSymbol" w:hAnsi="OpenSymbol"/>
    </w:rPr>
  </w:style>
  <w:style w:styleId="style16" w:type="character">
    <w:name w:val="Internet Link"/>
    <w:next w:val="style16"/>
    <w:rPr>
      <w:color w:val="000080"/>
      <w:u w:val="single"/>
      <w:lang w:bidi="en-US" w:eastAsia="en-US" w:val="en-US"/>
    </w:rPr>
  </w:style>
  <w:style w:styleId="style17" w:type="character">
    <w:name w:val="ListLabel 1"/>
    <w:next w:val="style17"/>
    <w:rPr>
      <w:rFonts w:cs="Symbol"/>
    </w:rPr>
  </w:style>
  <w:style w:styleId="style18" w:type="character">
    <w:name w:val="Strong Emphasis"/>
    <w:next w:val="style18"/>
    <w:rPr>
      <w:b/>
      <w:bCs/>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cs="Mangal"/>
    </w:rPr>
  </w:style>
  <w:style w:styleId="style22" w:type="paragraph">
    <w:name w:val="Caption"/>
    <w:basedOn w:val="style0"/>
    <w:next w:val="style22"/>
    <w:pPr>
      <w:suppressLineNumbers/>
      <w:spacing w:after="120" w:before="120"/>
      <w:contextualSpacing w:val="false"/>
    </w:pPr>
    <w:rPr>
      <w:rFonts w:cs="Mangal"/>
      <w:i/>
      <w:iCs/>
      <w:sz w:val="24"/>
      <w:szCs w:val="24"/>
    </w:rPr>
  </w:style>
  <w:style w:styleId="style23" w:type="paragraph">
    <w:name w:val="Index"/>
    <w:basedOn w:val="style0"/>
    <w:next w:val="style23"/>
    <w:pPr>
      <w:suppressLineNumbers/>
    </w:pPr>
    <w:rPr>
      <w:rFonts w:cs="Mangal"/>
    </w:rPr>
  </w:style>
  <w:style w:styleId="style24" w:type="paragraph">
    <w:name w:val="Heading 10"/>
    <w:basedOn w:val="style19"/>
    <w:next w:val="style20"/>
    <w:pPr>
      <w:numPr>
        <w:ilvl w:val="8"/>
        <w:numId w:val="1"/>
      </w:numPr>
      <w:outlineLvl w:val="8"/>
    </w:pPr>
    <w:rPr>
      <w:b/>
      <w:bCs/>
      <w:sz w:val="21"/>
      <w:szCs w:val="21"/>
    </w:rPr>
  </w:style>
  <w:style w:styleId="style25" w:type="paragraph">
    <w:name w:val="Footer"/>
    <w:basedOn w:val="style0"/>
    <w:next w:val="style25"/>
    <w:pPr>
      <w:suppressLineNumbers/>
      <w:tabs>
        <w:tab w:leader="none" w:pos="4612" w:val="center"/>
        <w:tab w:leader="none" w:pos="9225" w:val="right"/>
      </w:tabs>
    </w:pPr>
    <w:rPr/>
  </w:style>
  <w:style w:styleId="style26" w:type="paragraph">
    <w:name w:val="Table Contents"/>
    <w:basedOn w:val="style0"/>
    <w:next w:val="style26"/>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2019-10-07T09:59:57.10Z</dcterms:created>
  <cp:lastPrinted>2019-10-30T11:49:03.96Z</cp:lastPrinted>
  <cp:revision>0</cp:revision>
</cp:coreProperties>
</file>