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360" w:lineRule="auto"/>
        <w:ind w:firstLine="720" w:left="0" w:right="0"/>
        <w:contextualSpacing w:val="false"/>
        <w:jc w:val="center"/>
      </w:pPr>
      <w:r>
        <w:rPr>
          <w:rFonts w:ascii="Arial" w:cs="Arial" w:hAnsi="Arial"/>
          <w:sz w:val="24"/>
          <w:szCs w:val="24"/>
        </w:rPr>
        <w:t>Эдийн засгийн байнгын хорооны 2013 оны 12</w:t>
      </w:r>
      <w:r>
        <w:rPr>
          <w:rFonts w:ascii="Arial" w:cs="Arial" w:hAnsi="Arial"/>
          <w:sz w:val="24"/>
          <w:szCs w:val="24"/>
          <w:lang w:val="mn-MN"/>
        </w:rPr>
        <w:t xml:space="preserve"> дугаар </w:t>
      </w:r>
    </w:p>
    <w:p>
      <w:pPr>
        <w:pStyle w:val="style0"/>
        <w:spacing w:after="0" w:before="0" w:line="360" w:lineRule="auto"/>
        <w:ind w:firstLine="720" w:left="0" w:right="0"/>
        <w:contextualSpacing w:val="false"/>
        <w:jc w:val="center"/>
      </w:pPr>
      <w:r>
        <w:rPr>
          <w:rFonts w:ascii="Arial" w:cs="Arial" w:hAnsi="Arial"/>
          <w:sz w:val="24"/>
          <w:szCs w:val="24"/>
          <w:lang w:val="mn-MN"/>
        </w:rPr>
        <w:t xml:space="preserve"> </w:t>
      </w:r>
      <w:r>
        <w:rPr>
          <w:rFonts w:ascii="Arial" w:cs="Arial" w:hAnsi="Arial"/>
          <w:sz w:val="24"/>
          <w:szCs w:val="24"/>
          <w:lang w:val="mn-MN"/>
        </w:rPr>
        <w:t>сарын 1</w:t>
      </w:r>
      <w:r>
        <w:rPr>
          <w:rFonts w:ascii="Arial" w:cs="Arial" w:hAnsi="Arial"/>
          <w:sz w:val="24"/>
          <w:szCs w:val="24"/>
        </w:rPr>
        <w:t>0</w:t>
      </w:r>
      <w:r>
        <w:rPr>
          <w:rFonts w:ascii="Arial" w:cs="Arial" w:hAnsi="Arial"/>
          <w:sz w:val="24"/>
          <w:szCs w:val="24"/>
          <w:lang w:val="mn-MN"/>
        </w:rPr>
        <w:t>-</w:t>
      </w:r>
      <w:r>
        <w:rPr>
          <w:rFonts w:ascii="Arial" w:cs="Arial" w:hAnsi="Arial"/>
          <w:sz w:val="24"/>
          <w:szCs w:val="24"/>
        </w:rPr>
        <w:t>ны өдр</w:t>
      </w:r>
      <w:r>
        <w:rPr>
          <w:rFonts w:ascii="Arial" w:cs="Arial" w:hAnsi="Arial"/>
          <w:sz w:val="24"/>
          <w:szCs w:val="24"/>
          <w:lang w:val="mn-MN"/>
        </w:rPr>
        <w:t xml:space="preserve">ийн  </w:t>
      </w:r>
      <w:r>
        <w:rPr>
          <w:rFonts w:ascii="Arial" w:cs="Arial" w:hAnsi="Arial"/>
          <w:sz w:val="24"/>
          <w:szCs w:val="24"/>
        </w:rPr>
        <w:t>хуралдааны товч мэдээ</w:t>
      </w:r>
    </w:p>
    <w:p>
      <w:pPr>
        <w:pStyle w:val="style0"/>
        <w:tabs>
          <w:tab w:leader="none" w:pos="0" w:val="left"/>
          <w:tab w:leader="none" w:pos="1665" w:val="left"/>
        </w:tabs>
        <w:spacing w:line="360" w:lineRule="auto"/>
        <w:ind w:hanging="0" w:left="0" w:right="-161"/>
        <w:jc w:val="both"/>
      </w:pPr>
      <w:r>
        <w:rPr>
          <w:rFonts w:ascii="Arial" w:cs="Arial" w:hAnsi="Arial"/>
          <w:sz w:val="24"/>
          <w:szCs w:val="24"/>
        </w:rPr>
        <w:tab/>
        <w:t xml:space="preserve"> </w:t>
      </w:r>
      <w:r>
        <w:rPr>
          <w:rFonts w:ascii="Arial" w:cs="Arial" w:hAnsi="Arial"/>
          <w:sz w:val="24"/>
          <w:szCs w:val="24"/>
          <w:lang w:val="mn-MN"/>
        </w:rPr>
        <w:t xml:space="preserve">    </w:t>
      </w:r>
    </w:p>
    <w:p>
      <w:pPr>
        <w:pStyle w:val="style0"/>
        <w:tabs>
          <w:tab w:leader="none" w:pos="0" w:val="left"/>
          <w:tab w:leader="none" w:pos="1665" w:val="left"/>
        </w:tabs>
        <w:spacing w:line="360" w:lineRule="auto"/>
        <w:ind w:hanging="0" w:left="0" w:right="-161"/>
        <w:jc w:val="both"/>
      </w:pPr>
      <w:r>
        <w:rPr>
          <w:rFonts w:ascii="Arial" w:cs="Arial" w:hAnsi="Arial"/>
          <w:sz w:val="24"/>
          <w:szCs w:val="24"/>
          <w:lang w:val="mn-MN"/>
        </w:rPr>
        <w:t xml:space="preserve">           </w:t>
      </w:r>
      <w:r>
        <w:rPr>
          <w:rFonts w:ascii="Arial" w:cs="Arial" w:hAnsi="Arial"/>
          <w:sz w:val="24"/>
          <w:szCs w:val="24"/>
          <w:lang w:val="mn-MN"/>
        </w:rPr>
        <w:t xml:space="preserve">Эдийн засгийн байнгын хорооноос 2013 оны </w:t>
      </w:r>
      <w:r>
        <w:rPr>
          <w:rFonts w:ascii="Arial" w:cs="Arial" w:hAnsi="Arial"/>
          <w:sz w:val="24"/>
          <w:szCs w:val="24"/>
        </w:rPr>
        <w:t xml:space="preserve">09 </w:t>
      </w:r>
      <w:r>
        <w:rPr>
          <w:rFonts w:ascii="Arial" w:cs="Arial" w:hAnsi="Arial"/>
          <w:sz w:val="24"/>
          <w:szCs w:val="24"/>
          <w:lang w:val="mn-MN"/>
        </w:rPr>
        <w:t xml:space="preserve">дүгээр сарын 18-ны өдөр  “Төрөөс мөнгөний бодлогын талаар 2013 онд баримтлах үндсэн чиглэл, Төвбанкны тухай хууль болон Монголбанкнаас Засгийн газартай хамтран хэрэгжүүлж байгаа дэд хөтөлбөрүүдийн хэрэгжилтийн явц байдал, үр өгөөжийг Монголбанкинд, Санхүүгийн зохицуулах хорооны эрх зүйн байдлын тухай хуулийн хэрэгжилтийг Санхүүгийн зохицуулах хороонд, Статистикийн тухай хуулийн хэрэгжилтийг Үндэсний статистикийн хороонд  шалган танилцах ажлын хэсэг байгуулагдан, уг ажлын хэсгийн дүнг Эдийн засгийн Байнгын хорооны 10 дугаар сарын 10-ны  өдрийн  хуралдаанаар сонсож, дараах чиглэлүүдийг өгөв. </w:t>
      </w:r>
    </w:p>
    <w:p>
      <w:pPr>
        <w:pStyle w:val="style0"/>
        <w:tabs>
          <w:tab w:leader="none" w:pos="567" w:val="left"/>
        </w:tabs>
        <w:spacing w:after="0" w:before="0"/>
        <w:contextualSpacing w:val="false"/>
        <w:jc w:val="both"/>
      </w:pPr>
      <w:r>
        <w:rPr>
          <w:rFonts w:ascii="Arial" w:cs="Arial" w:hAnsi="Arial"/>
          <w:b/>
          <w:sz w:val="24"/>
          <w:szCs w:val="24"/>
          <w:lang w:val="mn-MN"/>
        </w:rPr>
        <w:t xml:space="preserve">          </w:t>
      </w:r>
      <w:r>
        <w:rPr>
          <w:rFonts w:ascii="Arial" w:cs="Arial" w:hAnsi="Arial"/>
          <w:b/>
          <w:sz w:val="24"/>
          <w:szCs w:val="24"/>
          <w:lang w:val="mn-MN"/>
        </w:rPr>
        <w:t>Нэг:</w:t>
      </w:r>
      <w:r>
        <w:rPr>
          <w:rFonts w:ascii="Arial" w:cs="Arial" w:hAnsi="Arial"/>
          <w:sz w:val="24"/>
          <w:szCs w:val="24"/>
          <w:lang w:val="mn-MN"/>
        </w:rPr>
        <w:t xml:space="preserve"> Төрөөс мөнгөний бодлогын талаар 2013 онд баримтлах үндсэн чиглэл, Төвбанкны тухай хууль болон Монголбанкнаас Засгийн газартай хамтран хэрэгжүүлж байгаа дэд хөтөлбөрүүдийн хэрэгжилтийн явц байдал, үр өгөөжийг Монголбанкинд шалган хороонд  дараах чиглэлийг өгөх нь зүйтэй гэж үзэв. Үүнд:</w:t>
      </w:r>
    </w:p>
    <w:p>
      <w:pPr>
        <w:pStyle w:val="style0"/>
        <w:tabs>
          <w:tab w:leader="none" w:pos="0" w:val="left"/>
          <w:tab w:leader="none" w:pos="1665" w:val="left"/>
        </w:tabs>
        <w:spacing w:line="360" w:lineRule="auto"/>
        <w:ind w:hanging="0" w:left="0" w:right="-161"/>
        <w:jc w:val="both"/>
      </w:pPr>
      <w:r>
        <w:rPr>
          <w:rFonts w:ascii="Arial" w:cs="Arial" w:hAnsi="Arial"/>
          <w:b/>
          <w:sz w:val="24"/>
          <w:szCs w:val="24"/>
          <w:lang w:val="mn-MN"/>
        </w:rPr>
      </w:r>
    </w:p>
    <w:p>
      <w:pPr>
        <w:pStyle w:val="style0"/>
        <w:tabs>
          <w:tab w:leader="none" w:pos="0" w:val="left"/>
          <w:tab w:leader="none" w:pos="1665" w:val="left"/>
        </w:tabs>
        <w:spacing w:line="360" w:lineRule="auto"/>
        <w:ind w:hanging="0" w:left="0" w:right="-161"/>
        <w:jc w:val="both"/>
      </w:pPr>
      <w:r>
        <w:rPr>
          <w:rFonts w:ascii="Arial" w:cs="Arial" w:hAnsi="Arial"/>
          <w:b/>
          <w:sz w:val="24"/>
          <w:szCs w:val="24"/>
          <w:lang w:val="mn-MN"/>
        </w:rPr>
        <w:t xml:space="preserve">          </w:t>
      </w:r>
      <w:r>
        <w:rPr>
          <w:rFonts w:ascii="Arial" w:cs="Arial" w:hAnsi="Arial"/>
          <w:b/>
          <w:sz w:val="24"/>
          <w:szCs w:val="24"/>
          <w:lang w:val="mn-MN"/>
        </w:rPr>
        <w:t xml:space="preserve">1. Мөнгөний бодлогын зорилтын хүрээнд: </w:t>
      </w:r>
    </w:p>
    <w:p>
      <w:pPr>
        <w:pStyle w:val="style0"/>
        <w:ind w:firstLine="720" w:left="720" w:right="0"/>
        <w:jc w:val="both"/>
      </w:pPr>
      <w:r>
        <w:rPr>
          <w:rFonts w:ascii="Arial" w:cs="Arial" w:hAnsi="Arial"/>
          <w:sz w:val="24"/>
          <w:szCs w:val="24"/>
          <w:lang w:val="mn-MN"/>
        </w:rPr>
        <w:t xml:space="preserve">1.1 Жижиг, дунд үйлдвэрлэлийг хөгжүүлэх сан, бичил бизнесийн сан зэрэг тусгай сангуудад Төв банкны зүгээс санхүүжилт хийх тогтолцоог бүрдүүлэх чиглэлээр Засгийн газар, Санхүүгийн зохицуулах хороотой хамтран ажиллах, </w:t>
      </w:r>
    </w:p>
    <w:p>
      <w:pPr>
        <w:pStyle w:val="style0"/>
        <w:ind w:firstLine="720" w:left="720" w:right="0"/>
        <w:jc w:val="both"/>
      </w:pPr>
      <w:r>
        <w:rPr>
          <w:rFonts w:ascii="Arial" w:cs="Arial" w:hAnsi="Arial"/>
          <w:sz w:val="24"/>
          <w:szCs w:val="24"/>
          <w:lang w:val="mn-MN"/>
        </w:rPr>
        <w:t>1.2 Бичил болон жижиг, дунд бизнесийн санхүүжилтийн чиглэлээр санаачлага гарган ажиллаж байгаа банкны заавал байлгах нөөц, төлбөр түргэн гүйцэтгэх чадвар зэрэг зохистой харьцааны шалгуур үзүүлэлтүүдийг уян хатан тогтоох, Төв банкны үнэт цаасны хэмжээ, хүүгийн түвшинг бууруулах хугацааг уртасгах нөхцлийг бүрдүүлэх асуудлыг судлан боловсруулах,</w:t>
      </w:r>
    </w:p>
    <w:p>
      <w:pPr>
        <w:pStyle w:val="style0"/>
        <w:ind w:firstLine="720" w:left="720" w:right="0"/>
        <w:jc w:val="both"/>
      </w:pPr>
      <w:r>
        <w:rPr>
          <w:rFonts w:ascii="Arial" w:cs="Arial" w:hAnsi="Arial"/>
          <w:sz w:val="24"/>
          <w:szCs w:val="24"/>
          <w:lang w:val="mn-MN"/>
        </w:rPr>
        <w:t xml:space="preserve">1.3 Валютын зах зээлийн өнөөгийн үйлчилж буй хэлбэр болох банк хоорондын зах зээлд оролцогчдын тоог банк, бус санхүүгийн байгууллага, санхүүгийн зах зээлийн бусад оролцогчид, томоохон экспорт, импортын компанийг оролцуулах замаар нэмэдүүлэх,   </w:t>
      </w:r>
    </w:p>
    <w:p>
      <w:pPr>
        <w:pStyle w:val="style0"/>
        <w:ind w:firstLine="720" w:left="720" w:right="0"/>
        <w:jc w:val="both"/>
      </w:pPr>
      <w:r>
        <w:rPr>
          <w:rFonts w:ascii="Arial" w:cs="Arial" w:hAnsi="Arial"/>
          <w:sz w:val="24"/>
          <w:szCs w:val="24"/>
          <w:lang w:val="mn-MN"/>
        </w:rPr>
        <w:t xml:space="preserve">1.4 Төв банкны гадаад валютын нөөцийн болон Засгийн газрын өрийн багцуудыг хооронд нь уялдуулж, ханшийн эрсдлээс хамгаалах механизм бий болгох, </w:t>
      </w:r>
    </w:p>
    <w:p>
      <w:pPr>
        <w:pStyle w:val="style0"/>
        <w:ind w:firstLine="720" w:left="720" w:right="0"/>
        <w:jc w:val="both"/>
      </w:pPr>
      <w:r>
        <w:rPr>
          <w:rFonts w:ascii="Arial" w:cs="Arial" w:hAnsi="Arial"/>
          <w:sz w:val="24"/>
          <w:szCs w:val="24"/>
          <w:lang w:val="mn-MN"/>
        </w:rPr>
        <w:t xml:space="preserve">1.5 Валютын ханшийн дэглэмийн асуудлыг валютын тухай хууль тогтоомжид тодорхой тусгаж өгөх, зохицуулалттай хөвөх ханшийн дэглэмтэй бусад орны нийтлэг жишгийн дагуу ханшийн хэт хэлбэлзэл, цочрол үүссэн үед зөвхөн интервенцийн арга хэрэгсэл бус, ханшийн эрсдлээс хамгаалах үүсмэл хэрэгслүүдийг үр дүнтэй ашиглах чиглэлээр холбогдох хууль тогтоомжуудад нэмэлт, өөрчлөлт оруулах, </w:t>
      </w:r>
    </w:p>
    <w:p>
      <w:pPr>
        <w:pStyle w:val="style0"/>
        <w:ind w:firstLine="720" w:left="720" w:right="0"/>
        <w:jc w:val="both"/>
      </w:pPr>
      <w:r>
        <w:rPr>
          <w:rFonts w:ascii="Arial" w:cs="Arial" w:hAnsi="Arial"/>
          <w:sz w:val="24"/>
          <w:szCs w:val="24"/>
          <w:lang w:val="mn-MN"/>
        </w:rPr>
        <w:t xml:space="preserve">1.6 Эдийн засаг дахь долларжилтын түвшинг зохистой хэмжээнд байлгах, Монгол улсын нутаг дэвсгэр дээр төгрөгөөр гүйлгээ тооцоо хийх тухай хууль эрх зүйн орчинд өөрчлөлт оруулах, арилжааны банкны төгрөгийн болон валютын зээл, хадгаламжийн зохистой харьцааны зөвлөмжийн шинжтэй /индикатив/ үзүүлэлтийг тогтоон арилжааны банкинд зөвлөмж болгох, арилжааны банк, төрийн өмчийн томоохон аж ахуйн нэгжийн гадаад төлбөр тооцоо, хадгаламжийн дансны гүйлгээнд үр дүнтэй хяналт тавих механизм бүрдүүлэх,    </w:t>
      </w:r>
    </w:p>
    <w:p>
      <w:pPr>
        <w:pStyle w:val="style0"/>
        <w:ind w:firstLine="720" w:left="720" w:right="0"/>
        <w:jc w:val="both"/>
      </w:pPr>
      <w:r>
        <w:rPr>
          <w:rFonts w:ascii="Arial" w:cs="Arial" w:hAnsi="Arial"/>
          <w:sz w:val="24"/>
          <w:szCs w:val="24"/>
          <w:lang w:val="mn-MN"/>
        </w:rPr>
        <w:t xml:space="preserve">1.7 Валтютын ханшийг хэт хэлбэлзэл, цочроо үүссэн үед ханш хэлбэлзэх тодорхой хязгаар буюу валютын ханшийн  “хонгилыг” тодорхойлох, хадгаламжийн дээд хэмжээг тогтоох, хүүгийн түвшинг удирдах зэрэг стандарт бус арга хэмжээг тодорхой цаг хугацааны хуваарьтайгаар Төв банкны зүгээс хэрэгжүүлэх бэлтгэлтэй байх, энэ талаар санхүүгийн тогтвортой байдлын зөвлөл хэрэгцээ шаардлага үүссэн  нөхцөлд шаардлагатай арга хэмжээнүүдийг төлөвлөж хэрэгжүүлэх, </w:t>
      </w:r>
    </w:p>
    <w:p>
      <w:pPr>
        <w:pStyle w:val="style0"/>
        <w:ind w:firstLine="720" w:left="720" w:right="0"/>
        <w:jc w:val="both"/>
      </w:pPr>
      <w:r>
        <w:rPr>
          <w:rFonts w:ascii="Arial" w:cs="Arial" w:hAnsi="Arial"/>
          <w:sz w:val="24"/>
          <w:szCs w:val="24"/>
          <w:lang w:val="mn-MN"/>
        </w:rPr>
        <w:t xml:space="preserve">1.8 Валютын нэрлэсэн болон бодит ханшийн индексийг тооцох арга зүйг мөнгөний бодлогын индексийг тооцох макро эдийн засгийн үзүүлэлт болгох, валютын ханшийн өөрчлөлтөд нөлөөлж буй дамын /слекулятив/ хүчин зүйлийн нөлөөллийг тооцон, шалтгааныг арилгах чиглэлээр тогтмол мониторинг хийж, холбогдох арга хэмжээг авч байх, </w:t>
      </w:r>
    </w:p>
    <w:p>
      <w:pPr>
        <w:pStyle w:val="style0"/>
        <w:ind w:firstLine="720" w:left="720" w:right="0"/>
        <w:jc w:val="both"/>
      </w:pPr>
      <w:r>
        <w:rPr>
          <w:rFonts w:ascii="Arial" w:cs="Arial" w:hAnsi="Arial"/>
          <w:sz w:val="24"/>
          <w:szCs w:val="24"/>
          <w:lang w:val="mn-MN"/>
        </w:rPr>
        <w:t xml:space="preserve">1.9 Үндэсний мөнгөн тэмдэгтийн тогтвортой байдлыг хангах, ханшийн эрсдлээс хамгаалах зорилгоор </w:t>
      </w:r>
      <w:r>
        <w:rPr>
          <w:rFonts w:ascii="Arial" w:cs="Arial" w:hAnsi="Arial"/>
          <w:sz w:val="24"/>
          <w:szCs w:val="24"/>
        </w:rPr>
        <w:t>SWAP</w:t>
      </w:r>
      <w:r>
        <w:rPr>
          <w:rFonts w:ascii="Arial" w:cs="Arial" w:hAnsi="Arial"/>
          <w:sz w:val="24"/>
          <w:szCs w:val="24"/>
          <w:lang w:val="mn-MN"/>
        </w:rPr>
        <w:t xml:space="preserve"> хэлэлцээрээр бий болсон боломж, нөхцөлүүдийг ашиглах, </w:t>
      </w:r>
    </w:p>
    <w:p>
      <w:pPr>
        <w:pStyle w:val="style0"/>
        <w:ind w:firstLine="720" w:left="720" w:right="0"/>
        <w:jc w:val="both"/>
      </w:pPr>
      <w:r>
        <w:rPr>
          <w:rFonts w:ascii="Arial" w:cs="Arial" w:hAnsi="Arial"/>
          <w:sz w:val="24"/>
          <w:szCs w:val="24"/>
          <w:lang w:val="mn-MN"/>
        </w:rPr>
        <w:t xml:space="preserve">1.10 Хөгжлийн банкийг банкны системийн бүрэлдэхүүн хэсэг болгох асуудлыг судлаж, холбогдох хууль, тогтоомжид өөрчлөлт оруулах чиглэлээр Засгийн газартай хамтран ажиллах,  </w:t>
      </w:r>
    </w:p>
    <w:p>
      <w:pPr>
        <w:pStyle w:val="style0"/>
        <w:ind w:hanging="720" w:left="1440" w:right="0"/>
        <w:jc w:val="both"/>
      </w:pPr>
      <w:r>
        <w:rPr>
          <w:rFonts w:ascii="Arial" w:cs="Arial" w:hAnsi="Arial"/>
          <w:b/>
          <w:sz w:val="24"/>
          <w:szCs w:val="24"/>
          <w:lang w:val="mn-MN"/>
        </w:rPr>
        <w:t xml:space="preserve">2. Банкны салбарт тогтвортой байдлыг бэхжүүлэх, тогтвортой санхүүжилт, сайн засаглалыг хөгжүүлэх хүрээнд: </w:t>
      </w:r>
    </w:p>
    <w:p>
      <w:pPr>
        <w:pStyle w:val="style0"/>
        <w:ind w:firstLine="720" w:left="720" w:right="0"/>
        <w:jc w:val="both"/>
      </w:pPr>
      <w:r>
        <w:rPr>
          <w:rFonts w:ascii="Arial" w:cs="Arial" w:hAnsi="Arial"/>
          <w:sz w:val="24"/>
          <w:szCs w:val="24"/>
          <w:lang w:val="mn-MN"/>
        </w:rPr>
        <w:t xml:space="preserve">2.1 Банкин дахь мөнгөн хадгаламжийн даатгалын хураамжийн хувь хэмжээг арилжааны банкны ашигт ажиллагаа, санхүүгийн үзүүлэлтүүдэд хүндрэл учруулахгүй, санхүүгийн зохистой харьцаа, шалгуур үзүүлэлтүүд алдагдах нөхцөл байдал үүсгэхгүй байхаар өөрчлөх асуудлыг судлах, </w:t>
      </w:r>
    </w:p>
    <w:p>
      <w:pPr>
        <w:pStyle w:val="style0"/>
        <w:ind w:firstLine="720" w:left="720" w:right="0"/>
        <w:jc w:val="both"/>
      </w:pPr>
      <w:r>
        <w:rPr>
          <w:rFonts w:ascii="Arial" w:cs="Arial" w:hAnsi="Arial"/>
          <w:sz w:val="24"/>
          <w:szCs w:val="24"/>
          <w:lang w:val="mn-MN"/>
        </w:rPr>
        <w:t xml:space="preserve">2.2 Арилжааны банкны үйл ажиллагаанд сайн засаглалын зарчмуудыг нэвтрүүлэх, банкны үүсгэн байгуулагч, өмчлөгчдийн ил тод байдлыг хангах, нийт хувьцаа эзэмшигчдийн эрх ашгийг хамгаалах, хараат бус төлөөлөн удирдах зөвлөлийг төлөвшүүлэх чиглэлээр Төв банкны зүгээс тусгай бодлого гаргаж хэрэгжүүлэх, </w:t>
      </w:r>
    </w:p>
    <w:p>
      <w:pPr>
        <w:pStyle w:val="style0"/>
        <w:ind w:firstLine="720" w:left="720" w:right="0"/>
        <w:jc w:val="both"/>
      </w:pPr>
      <w:r>
        <w:rPr>
          <w:rFonts w:ascii="Arial" w:cs="Arial" w:hAnsi="Arial"/>
          <w:sz w:val="24"/>
          <w:szCs w:val="24"/>
          <w:lang w:val="mn-MN"/>
        </w:rPr>
        <w:t xml:space="preserve">2.3 Арилжааны банкууд тогтвортой болон оролцоотой санхүүжилтийн олон улсын стандарт, зарчмууд, үзэл баримтлалыг үйл ажиллагаандаа нэвтрүүлэхэд нь Төв банкны зүгээс бодлогоор дэмжиж, байгаль орчин, ногоон бизнесийг санхүүжүүлж, компанийн нийгмийн хариуцлага, бичил бизнесийн олон улсын шилдэг туршлагыг үйл ажиллагаандаа амжилттай нэвтрүүлж буй туршлагыг түгээн дэлгэрүүлэх, </w:t>
      </w:r>
    </w:p>
    <w:p>
      <w:pPr>
        <w:pStyle w:val="style0"/>
        <w:ind w:firstLine="720" w:left="720" w:right="0"/>
        <w:jc w:val="both"/>
      </w:pPr>
      <w:r>
        <w:rPr>
          <w:rFonts w:ascii="Arial" w:cs="Arial" w:hAnsi="Arial"/>
          <w:sz w:val="24"/>
          <w:szCs w:val="24"/>
          <w:lang w:val="mn-MN"/>
        </w:rPr>
        <w:t xml:space="preserve">2.4 Монгол улсын олон улсын зээлийн зэрэглэл буурах эрсдлээс урьдчилан сэргийлэх, зээлийн зэрэглэлийг нэмэгдүүлэх, өрийн хүндрэлийн эрсдлийн түвшинг бууруулах, гадаад өрийн үйлчилгээний эргэн төлөлт санхүүгийн тогтвортой байдалд үзүүлэх сөрөг нөлөөлөлийг багасгах чиглэлээр Засгийн газартай хамтран ажиллах, </w:t>
      </w:r>
    </w:p>
    <w:p>
      <w:pPr>
        <w:pStyle w:val="style0"/>
        <w:ind w:hanging="0" w:left="1440" w:right="0"/>
        <w:jc w:val="both"/>
      </w:pPr>
      <w:r>
        <w:rPr>
          <w:rFonts w:ascii="Arial" w:cs="Arial" w:hAnsi="Arial"/>
          <w:b/>
          <w:sz w:val="24"/>
          <w:szCs w:val="24"/>
          <w:lang w:val="mn-MN"/>
        </w:rPr>
        <w:t xml:space="preserve">3. Санхүүгийн зах зээлийн дэд бүтэц, түүний институцийг бэхжүүлэх хүрээнд:  </w:t>
      </w:r>
    </w:p>
    <w:p>
      <w:pPr>
        <w:pStyle w:val="style0"/>
        <w:ind w:hanging="0" w:left="720" w:right="0"/>
        <w:jc w:val="both"/>
      </w:pPr>
      <w:r>
        <w:rPr>
          <w:rFonts w:ascii="Arial" w:cs="Arial" w:hAnsi="Arial"/>
          <w:b/>
          <w:sz w:val="24"/>
          <w:szCs w:val="24"/>
          <w:lang w:val="mn-MN"/>
        </w:rPr>
        <w:tab/>
      </w:r>
      <w:r>
        <w:rPr>
          <w:rFonts w:ascii="Arial" w:cs="Arial" w:hAnsi="Arial"/>
          <w:sz w:val="24"/>
          <w:szCs w:val="24"/>
          <w:lang w:val="mn-MN"/>
        </w:rPr>
        <w:t xml:space="preserve">3.1 Монгол Улсын төлбөр тооцооны найдвартай, тасралтгүй ажиллагааг хангах хүрээнд Төв банк болон арилжааны банкны одоогийн төлбөр тооцооны дэд бүтцийг төгөлдөржүүлэх талаар арилжааны банкууд, олон улсын байгууллагуудтай хамтран ажиллах, </w:t>
      </w:r>
    </w:p>
    <w:p>
      <w:pPr>
        <w:pStyle w:val="style0"/>
        <w:ind w:firstLine="720" w:left="720" w:right="0"/>
        <w:jc w:val="both"/>
      </w:pPr>
      <w:r>
        <w:rPr>
          <w:rFonts w:ascii="Arial" w:cs="Arial" w:hAnsi="Arial"/>
          <w:sz w:val="24"/>
          <w:szCs w:val="24"/>
          <w:lang w:val="mn-MN"/>
        </w:rPr>
        <w:t xml:space="preserve">3.2 Төлбөр тооцооны системийн шинэчлэлийг 2014-2016 онд хэрэгжүүлэхдээ арилжааны банкууд зах зээлийн зарчмаар өрсөлдөн хөгжих, үр ашигтай ажиллах боломжийг хангах, техник технологийн шаардлагатай стандарт нөхцлүүдийг тодорхойлсон эрх зүйн баримт бичгүүдийг боловсруулж гаргах, Үндэсний цахим үйлчилгээний төвийг хувийн хэвшлийн менежментийн зарчмаар ажиллуулах асуудлыг судлан боловсруулах, </w:t>
      </w:r>
    </w:p>
    <w:p>
      <w:pPr>
        <w:pStyle w:val="style0"/>
        <w:ind w:firstLine="720" w:left="720" w:right="0"/>
        <w:jc w:val="both"/>
      </w:pPr>
      <w:r>
        <w:rPr>
          <w:rFonts w:ascii="Arial" w:cs="Arial" w:hAnsi="Arial"/>
          <w:sz w:val="24"/>
          <w:szCs w:val="24"/>
          <w:lang w:val="mn-MN"/>
        </w:rPr>
        <w:t xml:space="preserve">3.3 Мөнгөний бодлогыг хэрэгжүүлэх, банкны салбарын тогтвортой байдлыг бэхжүүлэх, санхүүгийн зах зээлийн дэд бүтэц, банкны салбарын хүний нөөцийн хөгжлийн хүрээнд Төв банк, арилжааны банк, тэдгээрийн төлөөллийн байгууллагуудын хооронд хамтын ажиллагааны үр нөлөөтэй механизмыг төлөвшүүлэн хөгжүүлэх, </w:t>
      </w:r>
    </w:p>
    <w:p>
      <w:pPr>
        <w:pStyle w:val="style0"/>
        <w:ind w:firstLine="720" w:left="720" w:right="0"/>
        <w:jc w:val="both"/>
      </w:pPr>
      <w:r>
        <w:rPr>
          <w:rFonts w:ascii="Arial" w:cs="Arial" w:hAnsi="Arial"/>
          <w:sz w:val="24"/>
          <w:szCs w:val="24"/>
        </w:rPr>
        <w:t>3</w:t>
      </w:r>
      <w:r>
        <w:rPr>
          <w:rFonts w:ascii="Arial" w:cs="Arial" w:hAnsi="Arial"/>
          <w:sz w:val="24"/>
          <w:szCs w:val="24"/>
          <w:lang w:val="mn-MN"/>
        </w:rPr>
        <w:t xml:space="preserve">.4 Мөнгөний бодлогын зөвлөлөөр мөнгөний бодлогын үндсэн чиглэлийн биелэлт, валютын ханш, үйл ажиллагааны төлөвлөгөөний биелэлт зэргийг улирал бүр хэлэлцэж, дүнг ЭЗБХ-нд ирүүлж байх. </w:t>
      </w:r>
    </w:p>
    <w:p>
      <w:pPr>
        <w:pStyle w:val="style0"/>
        <w:spacing w:after="0" w:before="0"/>
        <w:ind w:firstLine="720" w:left="720" w:right="0"/>
        <w:contextualSpacing w:val="false"/>
        <w:jc w:val="both"/>
      </w:pPr>
      <w:r>
        <w:rPr>
          <w:rFonts w:ascii="Arial" w:cs="Arial" w:hAnsi="Arial"/>
          <w:sz w:val="24"/>
          <w:szCs w:val="24"/>
          <w:lang w:val="mn-MN"/>
        </w:rPr>
        <w:t xml:space="preserve"> </w:t>
      </w:r>
    </w:p>
    <w:p>
      <w:pPr>
        <w:pStyle w:val="style0"/>
        <w:tabs>
          <w:tab w:leader="none" w:pos="567" w:val="left"/>
        </w:tabs>
        <w:spacing w:after="0" w:before="0"/>
        <w:contextualSpacing w:val="false"/>
        <w:jc w:val="both"/>
      </w:pPr>
      <w:r>
        <w:rPr>
          <w:rFonts w:ascii="Arial" w:cs="Arial" w:hAnsi="Arial"/>
          <w:sz w:val="24"/>
          <w:szCs w:val="24"/>
          <w:lang w:val="mn-MN"/>
        </w:rPr>
        <w:tab/>
      </w:r>
      <w:r>
        <w:rPr>
          <w:rFonts w:ascii="Arial" w:cs="Arial" w:hAnsi="Arial"/>
          <w:b/>
          <w:sz w:val="24"/>
          <w:szCs w:val="24"/>
          <w:lang w:val="mn-MN"/>
        </w:rPr>
        <w:t>Хоёр:</w:t>
      </w:r>
      <w:r>
        <w:rPr>
          <w:rFonts w:ascii="Arial" w:cs="Arial" w:hAnsi="Arial"/>
          <w:sz w:val="24"/>
          <w:szCs w:val="24"/>
          <w:lang w:val="mn-MN"/>
        </w:rPr>
        <w:t xml:space="preserve"> Шалгалтын дүнг  хэлэлцсэнтэй холбогдуулан Үндэсний статистикийн хороонд  дараах чиглэлийг өгөх нь зүйтэй гэж үзэв. Үүнд:</w:t>
      </w:r>
    </w:p>
    <w:p>
      <w:pPr>
        <w:pStyle w:val="style0"/>
        <w:spacing w:after="0" w:before="0" w:line="100" w:lineRule="atLeast"/>
        <w:ind w:firstLine="720" w:left="0" w:right="0"/>
        <w:contextualSpacing w:val="false"/>
        <w:jc w:val="both"/>
      </w:pPr>
      <w:r>
        <w:rPr>
          <w:rFonts w:ascii="Arial" w:cs="Arial" w:hAnsi="Arial"/>
          <w:sz w:val="24"/>
          <w:szCs w:val="24"/>
        </w:rPr>
      </w:r>
    </w:p>
    <w:p>
      <w:pPr>
        <w:pStyle w:val="style23"/>
        <w:numPr>
          <w:ilvl w:val="0"/>
          <w:numId w:val="1"/>
        </w:numPr>
        <w:spacing w:after="0" w:before="0" w:line="100" w:lineRule="atLeast"/>
        <w:ind w:hanging="360" w:left="0" w:right="0"/>
        <w:contextualSpacing/>
        <w:jc w:val="both"/>
      </w:pPr>
      <w:r>
        <w:rPr>
          <w:rFonts w:ascii="Arial" w:cs="Arial" w:hAnsi="Arial"/>
          <w:sz w:val="24"/>
          <w:szCs w:val="24"/>
          <w:lang w:val="mn-MN"/>
        </w:rPr>
        <w:t>Статистикийн үйл ажиллагаа, төсөв, санхүүгийн хараат бус, бие даасан байх зарчим бүрэн хэрэгжихгүй байгаад дүгнэлт хийж үйл ажиллагааны зарчмуудын хэрэгжилтийг эрчимжүүлэх</w:t>
      </w:r>
      <w:r>
        <w:rPr>
          <w:rFonts w:ascii="Arial" w:cs="Arial" w:hAnsi="Arial"/>
          <w:sz w:val="24"/>
          <w:szCs w:val="24"/>
        </w:rPr>
        <w:t>;</w:t>
      </w:r>
    </w:p>
    <w:p>
      <w:pPr>
        <w:pStyle w:val="style23"/>
        <w:spacing w:after="0" w:before="0" w:line="100" w:lineRule="atLeast"/>
        <w:ind w:firstLine="360" w:left="0" w:right="0"/>
        <w:contextualSpacing/>
        <w:jc w:val="both"/>
      </w:pPr>
      <w:r>
        <w:rPr>
          <w:rFonts w:ascii="Arial" w:cs="Arial" w:hAnsi="Arial"/>
          <w:sz w:val="24"/>
          <w:szCs w:val="24"/>
          <w:lang w:val="mn-MN"/>
        </w:rPr>
      </w:r>
    </w:p>
    <w:p>
      <w:pPr>
        <w:pStyle w:val="style23"/>
        <w:numPr>
          <w:ilvl w:val="0"/>
          <w:numId w:val="1"/>
        </w:numPr>
        <w:spacing w:after="0" w:before="0" w:line="100" w:lineRule="atLeast"/>
        <w:ind w:hanging="360" w:left="0" w:right="0"/>
        <w:contextualSpacing/>
        <w:jc w:val="both"/>
      </w:pPr>
      <w:r>
        <w:rPr>
          <w:rFonts w:ascii="Arial" w:cs="Arial" w:hAnsi="Arial"/>
          <w:sz w:val="24"/>
          <w:szCs w:val="24"/>
          <w:lang w:val="mn-MN"/>
        </w:rPr>
        <w:t>Эдийн засаг, нийгмийн статистикийн арга зүй, аргачлалуудыг олон</w:t>
      </w:r>
      <w:r>
        <w:rPr>
          <w:rFonts w:ascii="Arial" w:cs="Arial" w:hAnsi="Arial"/>
          <w:sz w:val="24"/>
          <w:szCs w:val="24"/>
        </w:rPr>
        <w:t xml:space="preserve"> </w:t>
      </w:r>
      <w:r>
        <w:rPr>
          <w:rFonts w:ascii="Arial" w:cs="Arial" w:hAnsi="Arial"/>
          <w:sz w:val="24"/>
          <w:szCs w:val="24"/>
          <w:lang w:val="mn-MN"/>
        </w:rPr>
        <w:t>улсын ангилал, стандартын жишигт нийцүүлэн боловсруулж, шинэчлэн сайжруулж, мэдээлэл авах урсгал болон эх үүсвэрийг тодорхой болгож албан ёсны статистикийн мэдээллийн хамрах хүрээг нэмэгдүүлэх, энэ чиглэлд Үндэсний статистикийн хорооны эдрэгдэх зөвлөлийн оролцоог идэвхжүүлэх</w:t>
      </w:r>
      <w:r>
        <w:rPr>
          <w:rFonts w:ascii="Arial" w:cs="Arial" w:hAnsi="Arial"/>
          <w:sz w:val="24"/>
          <w:szCs w:val="24"/>
        </w:rPr>
        <w:t>;</w:t>
      </w:r>
    </w:p>
    <w:p>
      <w:pPr>
        <w:pStyle w:val="style23"/>
        <w:spacing w:after="0" w:before="0" w:line="100" w:lineRule="atLeast"/>
        <w:ind w:firstLine="360" w:left="0" w:right="0"/>
        <w:contextualSpacing/>
        <w:jc w:val="both"/>
      </w:pPr>
      <w:r>
        <w:rPr>
          <w:rFonts w:ascii="Arial" w:cs="Arial" w:hAnsi="Arial"/>
          <w:sz w:val="24"/>
          <w:szCs w:val="24"/>
          <w:lang w:val="mn-MN"/>
        </w:rPr>
      </w:r>
    </w:p>
    <w:p>
      <w:pPr>
        <w:pStyle w:val="style0"/>
        <w:numPr>
          <w:ilvl w:val="0"/>
          <w:numId w:val="1"/>
        </w:numPr>
        <w:spacing w:after="0" w:before="0" w:line="100" w:lineRule="atLeast"/>
        <w:ind w:hanging="360" w:left="0" w:right="0"/>
        <w:contextualSpacing w:val="false"/>
        <w:jc w:val="both"/>
      </w:pPr>
      <w:r>
        <w:rPr>
          <w:rFonts w:ascii="Arial" w:cs="Arial" w:hAnsi="Arial"/>
          <w:bCs/>
          <w:sz w:val="24"/>
          <w:szCs w:val="24"/>
          <w:lang w:val="mn-MN"/>
        </w:rPr>
        <w:t>Салбарын яамдын статистикийн албаны үйл ажиллагааг сайжруулах арга хэмжээний талаар санал боловсруулж УИХ-д 2014 оны эхний хагас жилд багтаан оруулж ирэх</w:t>
      </w:r>
      <w:r>
        <w:rPr>
          <w:rFonts w:ascii="Arial" w:cs="Arial" w:hAnsi="Arial"/>
          <w:bCs/>
          <w:sz w:val="24"/>
          <w:szCs w:val="24"/>
        </w:rPr>
        <w:t>;</w:t>
      </w:r>
    </w:p>
    <w:p>
      <w:pPr>
        <w:pStyle w:val="style0"/>
        <w:spacing w:after="0" w:before="0" w:line="100" w:lineRule="atLeast"/>
        <w:ind w:firstLine="360" w:left="0" w:right="0"/>
        <w:contextualSpacing w:val="false"/>
        <w:jc w:val="both"/>
      </w:pPr>
      <w:r>
        <w:rPr>
          <w:rFonts w:ascii="Arial" w:cs="Arial" w:hAnsi="Arial"/>
          <w:bCs/>
          <w:sz w:val="24"/>
          <w:szCs w:val="24"/>
          <w:lang w:val="mn-MN"/>
        </w:rPr>
      </w:r>
    </w:p>
    <w:p>
      <w:pPr>
        <w:pStyle w:val="style0"/>
        <w:numPr>
          <w:ilvl w:val="0"/>
          <w:numId w:val="1"/>
        </w:numPr>
        <w:spacing w:after="0" w:before="0" w:line="100" w:lineRule="atLeast"/>
        <w:ind w:hanging="360" w:left="0" w:right="0"/>
        <w:contextualSpacing w:val="false"/>
        <w:jc w:val="both"/>
      </w:pPr>
      <w:r>
        <w:rPr>
          <w:rFonts w:ascii="Arial" w:cs="Arial" w:hAnsi="Arial"/>
          <w:sz w:val="24"/>
          <w:szCs w:val="24"/>
          <w:lang w:val="mn-MN"/>
        </w:rPr>
        <w:t>Статистикийн мэдээллийн чанарыг сайжруулж үнэн бодит байдлыг хангах уг үйл ажиллагааг мэргэжлийн багаар гүйцэтгүүлэх, тэдний мэргэшил, ур чадварыг дээшлүүлэх, салбарын статистикийн үйл ажиллагааг</w:t>
      </w:r>
      <w:r>
        <w:rPr>
          <w:rFonts w:ascii="Arial" w:cs="Arial" w:hAnsi="Arial"/>
          <w:sz w:val="24"/>
          <w:szCs w:val="24"/>
        </w:rPr>
        <w:t xml:space="preserve"> </w:t>
      </w:r>
      <w:r>
        <w:rPr>
          <w:rFonts w:ascii="Arial" w:cs="Arial" w:hAnsi="Arial"/>
          <w:sz w:val="24"/>
          <w:szCs w:val="24"/>
          <w:lang w:val="mn-MN"/>
        </w:rPr>
        <w:t>сайжруулах</w:t>
      </w:r>
      <w:r>
        <w:rPr>
          <w:rFonts w:ascii="Arial" w:cs="Arial" w:hAnsi="Arial"/>
          <w:sz w:val="24"/>
          <w:szCs w:val="24"/>
        </w:rPr>
        <w:t xml:space="preserve"> </w:t>
      </w:r>
      <w:r>
        <w:rPr>
          <w:rFonts w:ascii="Arial" w:cs="Arial" w:hAnsi="Arial"/>
          <w:sz w:val="24"/>
          <w:szCs w:val="24"/>
          <w:lang w:val="mn-MN"/>
        </w:rPr>
        <w:t>үүднээс Статистикийн тухай хуулийн 11 дүгээр зүйлийн 2 дахь заалтыг хэрэгжүүлж,  сумдын Засаг даргын тамгын газарт статистикийн мэдээ, мэдээлэл хариуцсан ажилтаны ажил үүргийн зохицуулалт хийх санал боловсруулж шийдвэрлүүлэх</w:t>
      </w:r>
      <w:r>
        <w:rPr>
          <w:rFonts w:ascii="Arial" w:cs="Arial" w:hAnsi="Arial"/>
          <w:bCs/>
          <w:sz w:val="24"/>
          <w:szCs w:val="24"/>
        </w:rPr>
        <w:t>;</w:t>
      </w:r>
    </w:p>
    <w:p>
      <w:pPr>
        <w:pStyle w:val="style23"/>
        <w:spacing w:after="0" w:before="0" w:line="100" w:lineRule="atLeast"/>
        <w:ind w:hanging="0" w:left="360" w:right="0"/>
        <w:contextualSpacing/>
        <w:jc w:val="both"/>
      </w:pPr>
      <w:r>
        <w:rPr>
          <w:rFonts w:ascii="Arial" w:cs="Arial" w:hAnsi="Arial"/>
          <w:sz w:val="24"/>
          <w:szCs w:val="24"/>
          <w:lang w:val="mn-MN"/>
        </w:rPr>
      </w:r>
    </w:p>
    <w:p>
      <w:pPr>
        <w:pStyle w:val="style23"/>
        <w:numPr>
          <w:ilvl w:val="0"/>
          <w:numId w:val="1"/>
        </w:numPr>
        <w:spacing w:after="0" w:before="0" w:line="100" w:lineRule="atLeast"/>
        <w:ind w:hanging="360" w:left="0" w:right="0"/>
        <w:contextualSpacing/>
        <w:jc w:val="both"/>
      </w:pPr>
      <w:r>
        <w:rPr>
          <w:rFonts w:ascii="Arial" w:cs="Arial" w:hAnsi="Arial"/>
          <w:sz w:val="24"/>
          <w:szCs w:val="24"/>
          <w:lang w:val="mn-MN"/>
        </w:rPr>
        <w:t>Ногоон өсөлт, хөгжлийг хэмжих, үндэсний тооцооны системтэй уялдуулах асуудлаар олон улсын туршлагыг судлан Монгол улсад хэрэгжүүлэх санал, үзүүлэлтийн системийг 2014 оны эхний хагас жилд багтаан УИХ-аар хэлэлцүүлэх</w:t>
      </w:r>
      <w:r>
        <w:rPr>
          <w:rFonts w:ascii="Arial" w:cs="Arial" w:hAnsi="Arial"/>
          <w:sz w:val="24"/>
          <w:szCs w:val="24"/>
        </w:rPr>
        <w:t>;</w:t>
      </w:r>
      <w:r>
        <w:rPr>
          <w:rFonts w:ascii="Arial" w:cs="Arial" w:hAnsi="Arial"/>
          <w:sz w:val="24"/>
          <w:szCs w:val="24"/>
          <w:lang w:val="mn-MN"/>
        </w:rPr>
        <w:t xml:space="preserve"> </w:t>
      </w:r>
    </w:p>
    <w:p>
      <w:pPr>
        <w:pStyle w:val="style23"/>
        <w:spacing w:after="0" w:before="0" w:line="100" w:lineRule="atLeast"/>
        <w:ind w:hanging="0" w:left="360" w:right="0"/>
        <w:contextualSpacing/>
        <w:jc w:val="both"/>
      </w:pPr>
      <w:r>
        <w:rPr>
          <w:rFonts w:ascii="Arial" w:cs="Arial" w:hAnsi="Arial"/>
          <w:sz w:val="24"/>
          <w:szCs w:val="24"/>
          <w:lang w:val="mn-MN"/>
        </w:rPr>
      </w:r>
    </w:p>
    <w:p>
      <w:pPr>
        <w:pStyle w:val="style23"/>
        <w:numPr>
          <w:ilvl w:val="0"/>
          <w:numId w:val="1"/>
        </w:numPr>
        <w:spacing w:after="0" w:before="0" w:line="100" w:lineRule="atLeast"/>
        <w:ind w:hanging="360" w:left="0" w:right="32"/>
        <w:contextualSpacing/>
        <w:jc w:val="both"/>
      </w:pPr>
      <w:r>
        <w:rPr>
          <w:rFonts w:ascii="Arial" w:cs="Arial" w:hAnsi="Arial"/>
          <w:sz w:val="24"/>
          <w:szCs w:val="24"/>
          <w:lang w:val="mn-MN"/>
        </w:rPr>
        <w:t>Албан ёсны статистикийн үйл ажиллагааг явуулахад туслах, арга зүйн  нэгдмэл байдлыг хангах асуудлаар зөвлөх чиг үүрэгтэй Улсын Их Хурал, Засгийн газар, эрдэм шинжилгээний байгууллага болон хэрэглэгчийн  төлөөлөлтэй зөвлөлийн үйл ажиллагааг идэвхжүүлэх, зөвлөлийн эрх, үүргийг өргөтгөх чиглэлээр холбогдох хууль тогтоомжид өөрчлөлт оруулах</w:t>
      </w:r>
      <w:r>
        <w:rPr>
          <w:rFonts w:ascii="Arial" w:cs="Arial" w:hAnsi="Arial"/>
          <w:sz w:val="24"/>
          <w:szCs w:val="24"/>
        </w:rPr>
        <w:t>;</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lang w:val="mn-MN"/>
        </w:rPr>
        <w:t xml:space="preserve">Гурав: </w:t>
      </w:r>
      <w:r>
        <w:rPr>
          <w:rFonts w:ascii="Arial" w:cs="Arial" w:hAnsi="Arial"/>
          <w:sz w:val="24"/>
          <w:szCs w:val="24"/>
          <w:lang w:val="mn-MN"/>
        </w:rPr>
        <w:t>Шалгалтын дүнг хэлэлцсэнтэй холбогдуулан Санхүүгийн зохицуулах хороонд  дараах чиглэлийг өгөх нь зүйтэй гэж үзэв. Үүнд:</w:t>
      </w:r>
    </w:p>
    <w:p>
      <w:pPr>
        <w:pStyle w:val="style0"/>
        <w:spacing w:after="0" w:before="0" w:line="100" w:lineRule="atLeast"/>
        <w:ind w:firstLine="720" w:left="0" w:right="0"/>
        <w:contextualSpacing w:val="false"/>
        <w:jc w:val="both"/>
      </w:pPr>
      <w:r>
        <w:rPr>
          <w:rFonts w:ascii="Arial" w:cs="Arial" w:hAnsi="Arial"/>
          <w:sz w:val="24"/>
          <w:szCs w:val="24"/>
        </w:rPr>
      </w:r>
    </w:p>
    <w:p>
      <w:pPr>
        <w:pStyle w:val="style23"/>
        <w:numPr>
          <w:ilvl w:val="0"/>
          <w:numId w:val="2"/>
        </w:numPr>
        <w:spacing w:after="0" w:before="0" w:line="100" w:lineRule="atLeast"/>
        <w:ind w:hanging="360" w:left="0" w:right="32"/>
        <w:contextualSpacing/>
        <w:jc w:val="both"/>
      </w:pPr>
      <w:r>
        <w:rPr>
          <w:rFonts w:ascii="Arial" w:cs="Arial" w:eastAsia="Arial" w:hAnsi="Arial"/>
          <w:sz w:val="24"/>
          <w:szCs w:val="24"/>
          <w:lang w:val="mn-MN"/>
        </w:rPr>
        <w:t xml:space="preserve">Санхүүгийн зах зээлийн оролцогчид, тэдгээрийн төлөөлөлтэй Хорооны зүгээс хамтран ажиллах механизмийг шинэчлэн сайжруулах, төр хувийн хэвшлийн түншлэлийн үр өгөөжтэй бөгөөд шийдвэр гаргах үйл явцад бодитой оролцох оролцоог нь хангасан хэлбрийг бий болгон хөгжүүлэх, </w:t>
      </w:r>
    </w:p>
    <w:p>
      <w:pPr>
        <w:pStyle w:val="style23"/>
        <w:spacing w:after="0" w:before="0" w:line="100" w:lineRule="atLeast"/>
        <w:ind w:hanging="0" w:left="360" w:right="32"/>
        <w:contextualSpacing/>
        <w:jc w:val="both"/>
      </w:pPr>
      <w:r>
        <w:rPr>
          <w:rFonts w:ascii="Arial" w:cs="Arial" w:hAnsi="Arial"/>
          <w:sz w:val="24"/>
          <w:szCs w:val="24"/>
          <w:lang w:val="mn-MN"/>
        </w:rPr>
      </w:r>
    </w:p>
    <w:p>
      <w:pPr>
        <w:pStyle w:val="style23"/>
        <w:numPr>
          <w:ilvl w:val="0"/>
          <w:numId w:val="2"/>
        </w:numPr>
        <w:spacing w:after="0" w:before="0" w:line="100" w:lineRule="atLeast"/>
        <w:ind w:hanging="360" w:left="0" w:right="32"/>
        <w:contextualSpacing/>
        <w:jc w:val="both"/>
      </w:pPr>
      <w:r>
        <w:rPr>
          <w:rFonts w:ascii="Arial" w:cs="Arial" w:eastAsia="Arial" w:hAnsi="Arial"/>
          <w:sz w:val="24"/>
          <w:szCs w:val="24"/>
          <w:lang w:val="mn-MN"/>
        </w:rPr>
        <w:t>Санхүүгийн секторын шинэтгэлийг эрчимтэй үргэлжлүүлэх чиглэлээрх Хорооны санаачлагыг нэмэгдүүлэх, санхүүгийн зах зээлд үүссэн 95:5 гэсэн зохистой бус харьцааг өөрчлөх талаар Санхүүгийн тогтвортой байдлын зөвлөлийн үйл ажиллагаанд Хорооны оролцоог идэвхжүүлэх,</w:t>
      </w:r>
    </w:p>
    <w:p>
      <w:pPr>
        <w:pStyle w:val="style23"/>
        <w:spacing w:after="0" w:before="0" w:line="100" w:lineRule="atLeast"/>
        <w:ind w:hanging="0" w:left="360" w:right="32"/>
        <w:contextualSpacing/>
        <w:jc w:val="both"/>
      </w:pPr>
      <w:r>
        <w:rPr>
          <w:rFonts w:ascii="Arial" w:cs="Arial" w:hAnsi="Arial"/>
          <w:sz w:val="24"/>
          <w:szCs w:val="24"/>
          <w:lang w:val="mn-MN"/>
        </w:rPr>
      </w:r>
    </w:p>
    <w:p>
      <w:pPr>
        <w:pStyle w:val="style23"/>
        <w:numPr>
          <w:ilvl w:val="0"/>
          <w:numId w:val="2"/>
        </w:numPr>
        <w:spacing w:after="0" w:before="0" w:line="100" w:lineRule="atLeast"/>
        <w:ind w:hanging="360" w:left="0" w:right="32"/>
        <w:contextualSpacing/>
        <w:jc w:val="both"/>
      </w:pPr>
      <w:r>
        <w:rPr>
          <w:rFonts w:ascii="Arial" w:cs="Arial" w:eastAsia="Arial" w:hAnsi="Arial"/>
          <w:sz w:val="24"/>
          <w:szCs w:val="24"/>
          <w:lang w:val="mn-MN"/>
        </w:rPr>
        <w:t xml:space="preserve">  </w:t>
      </w:r>
      <w:r>
        <w:rPr>
          <w:rFonts w:ascii="Arial" w:cs="Arial" w:eastAsia="Arial" w:hAnsi="Arial"/>
          <w:sz w:val="24"/>
          <w:szCs w:val="24"/>
        </w:rPr>
        <w:t>Х</w:t>
      </w:r>
      <w:r>
        <w:rPr>
          <w:rFonts w:ascii="Arial" w:cs="Arial" w:eastAsia="Arial" w:hAnsi="Arial"/>
          <w:spacing w:val="-2"/>
          <w:sz w:val="24"/>
          <w:szCs w:val="24"/>
        </w:rPr>
        <w:t>у</w:t>
      </w:r>
      <w:r>
        <w:rPr>
          <w:rFonts w:ascii="Arial" w:cs="Arial" w:eastAsia="Arial" w:hAnsi="Arial"/>
          <w:sz w:val="24"/>
          <w:szCs w:val="24"/>
        </w:rPr>
        <w:t>вь</w:t>
      </w:r>
      <w:r>
        <w:rPr>
          <w:rFonts w:ascii="Arial" w:cs="Arial" w:eastAsia="Arial" w:hAnsi="Arial"/>
          <w:spacing w:val="-1"/>
          <w:sz w:val="24"/>
          <w:szCs w:val="24"/>
        </w:rPr>
        <w:t>ц</w:t>
      </w:r>
      <w:r>
        <w:rPr>
          <w:rFonts w:ascii="Arial" w:cs="Arial" w:eastAsia="Arial" w:hAnsi="Arial"/>
          <w:spacing w:val="1"/>
          <w:sz w:val="24"/>
          <w:szCs w:val="24"/>
        </w:rPr>
        <w:t>аа</w:t>
      </w:r>
      <w:r>
        <w:rPr>
          <w:rFonts w:ascii="Arial" w:cs="Arial" w:eastAsia="Arial" w:hAnsi="Arial"/>
          <w:sz w:val="24"/>
          <w:szCs w:val="24"/>
        </w:rPr>
        <w:t xml:space="preserve">ны </w:t>
      </w:r>
      <w:r>
        <w:rPr>
          <w:rFonts w:ascii="Arial" w:cs="Arial" w:eastAsia="Arial" w:hAnsi="Arial"/>
          <w:spacing w:val="-2"/>
          <w:sz w:val="24"/>
          <w:szCs w:val="24"/>
        </w:rPr>
        <w:t>х</w:t>
      </w:r>
      <w:r>
        <w:rPr>
          <w:rFonts w:ascii="Arial" w:cs="Arial" w:eastAsia="Arial" w:hAnsi="Arial"/>
          <w:sz w:val="24"/>
          <w:szCs w:val="24"/>
        </w:rPr>
        <w:t>эт т</w:t>
      </w:r>
      <w:r>
        <w:rPr>
          <w:rFonts w:ascii="Arial" w:cs="Arial" w:eastAsia="Arial" w:hAnsi="Arial"/>
          <w:spacing w:val="1"/>
          <w:sz w:val="24"/>
          <w:szCs w:val="24"/>
        </w:rPr>
        <w:t>ө</w:t>
      </w:r>
      <w:r>
        <w:rPr>
          <w:rFonts w:ascii="Arial" w:cs="Arial" w:eastAsia="Arial" w:hAnsi="Arial"/>
          <w:sz w:val="24"/>
          <w:szCs w:val="24"/>
        </w:rPr>
        <w:t>в</w:t>
      </w:r>
      <w:r>
        <w:rPr>
          <w:rFonts w:ascii="Arial" w:cs="Arial" w:eastAsia="Arial" w:hAnsi="Arial"/>
          <w:spacing w:val="-1"/>
          <w:sz w:val="24"/>
          <w:szCs w:val="24"/>
        </w:rPr>
        <w:t>л</w:t>
      </w:r>
      <w:r>
        <w:rPr>
          <w:rFonts w:ascii="Arial" w:cs="Arial" w:eastAsia="Arial" w:hAnsi="Arial"/>
          <w:spacing w:val="1"/>
          <w:sz w:val="24"/>
          <w:szCs w:val="24"/>
        </w:rPr>
        <w:t>өрө</w:t>
      </w:r>
      <w:r>
        <w:rPr>
          <w:rFonts w:ascii="Arial" w:cs="Arial" w:eastAsia="Arial" w:hAnsi="Arial"/>
          <w:sz w:val="24"/>
          <w:szCs w:val="24"/>
        </w:rPr>
        <w:t>л ява</w:t>
      </w:r>
      <w:r>
        <w:rPr>
          <w:rFonts w:ascii="Arial" w:cs="Arial" w:eastAsia="Arial" w:hAnsi="Arial"/>
          <w:spacing w:val="-1"/>
          <w:sz w:val="24"/>
          <w:szCs w:val="24"/>
        </w:rPr>
        <w:t>гд</w:t>
      </w:r>
      <w:r>
        <w:rPr>
          <w:rFonts w:ascii="Arial" w:cs="Arial" w:eastAsia="Arial" w:hAnsi="Arial"/>
          <w:sz w:val="24"/>
          <w:szCs w:val="24"/>
        </w:rPr>
        <w:t>с</w:t>
      </w:r>
      <w:r>
        <w:rPr>
          <w:rFonts w:ascii="Arial" w:cs="Arial" w:eastAsia="Arial" w:hAnsi="Arial"/>
          <w:spacing w:val="1"/>
          <w:sz w:val="24"/>
          <w:szCs w:val="24"/>
        </w:rPr>
        <w:t>а</w:t>
      </w:r>
      <w:r>
        <w:rPr>
          <w:rFonts w:ascii="Arial" w:cs="Arial" w:eastAsia="Arial" w:hAnsi="Arial"/>
          <w:sz w:val="24"/>
          <w:szCs w:val="24"/>
        </w:rPr>
        <w:t xml:space="preserve">н, </w:t>
      </w:r>
      <w:r>
        <w:rPr>
          <w:rFonts w:ascii="Arial" w:cs="Arial" w:eastAsia="Arial" w:hAnsi="Arial"/>
          <w:spacing w:val="-2"/>
          <w:sz w:val="24"/>
          <w:szCs w:val="24"/>
          <w:lang w:val="mn-MN"/>
        </w:rPr>
        <w:t>Х</w:t>
      </w:r>
      <w:r>
        <w:rPr>
          <w:rFonts w:ascii="Arial" w:cs="Arial" w:eastAsia="Arial" w:hAnsi="Arial"/>
          <w:spacing w:val="1"/>
          <w:sz w:val="24"/>
          <w:szCs w:val="24"/>
        </w:rPr>
        <w:t>өрө</w:t>
      </w:r>
      <w:r>
        <w:rPr>
          <w:rFonts w:ascii="Arial" w:cs="Arial" w:eastAsia="Arial" w:hAnsi="Arial"/>
          <w:sz w:val="24"/>
          <w:szCs w:val="24"/>
        </w:rPr>
        <w:t xml:space="preserve">нгийн </w:t>
      </w:r>
      <w:r>
        <w:rPr>
          <w:rFonts w:ascii="Arial" w:cs="Arial" w:eastAsia="Arial" w:hAnsi="Arial"/>
          <w:spacing w:val="-1"/>
          <w:sz w:val="24"/>
          <w:szCs w:val="24"/>
        </w:rPr>
        <w:t>б</w:t>
      </w:r>
      <w:r>
        <w:rPr>
          <w:rFonts w:ascii="Arial" w:cs="Arial" w:eastAsia="Arial" w:hAnsi="Arial"/>
          <w:sz w:val="24"/>
          <w:szCs w:val="24"/>
        </w:rPr>
        <w:t>и</w:t>
      </w:r>
      <w:r>
        <w:rPr>
          <w:rFonts w:ascii="Arial" w:cs="Arial" w:eastAsia="Arial" w:hAnsi="Arial"/>
          <w:spacing w:val="1"/>
          <w:sz w:val="24"/>
          <w:szCs w:val="24"/>
        </w:rPr>
        <w:t>р</w:t>
      </w:r>
      <w:r>
        <w:rPr>
          <w:rFonts w:ascii="Arial" w:cs="Arial" w:eastAsia="Arial" w:hAnsi="Arial"/>
          <w:sz w:val="24"/>
          <w:szCs w:val="24"/>
        </w:rPr>
        <w:t>ж</w:t>
      </w:r>
      <w:r>
        <w:rPr>
          <w:rFonts w:ascii="Arial" w:cs="Arial" w:eastAsia="Arial" w:hAnsi="Arial"/>
          <w:sz w:val="24"/>
          <w:szCs w:val="24"/>
          <w:lang w:val="mn-MN"/>
        </w:rPr>
        <w:t>и</w:t>
      </w:r>
      <w:r>
        <w:rPr>
          <w:rFonts w:ascii="Arial" w:cs="Arial" w:eastAsia="Arial" w:hAnsi="Arial"/>
          <w:sz w:val="24"/>
          <w:szCs w:val="24"/>
        </w:rPr>
        <w:t xml:space="preserve">д </w:t>
      </w:r>
      <w:r>
        <w:rPr>
          <w:rFonts w:ascii="Arial" w:cs="Arial" w:eastAsia="Arial" w:hAnsi="Arial"/>
          <w:spacing w:val="-1"/>
          <w:sz w:val="24"/>
          <w:szCs w:val="24"/>
        </w:rPr>
        <w:t>б</w:t>
      </w:r>
      <w:r>
        <w:rPr>
          <w:rFonts w:ascii="Arial" w:cs="Arial" w:eastAsia="Arial" w:hAnsi="Arial"/>
          <w:sz w:val="24"/>
          <w:szCs w:val="24"/>
        </w:rPr>
        <w:t>ү</w:t>
      </w:r>
      <w:r>
        <w:rPr>
          <w:rFonts w:ascii="Arial" w:cs="Arial" w:eastAsia="Arial" w:hAnsi="Arial"/>
          <w:spacing w:val="1"/>
          <w:sz w:val="24"/>
          <w:szCs w:val="24"/>
        </w:rPr>
        <w:t>р</w:t>
      </w:r>
      <w:r>
        <w:rPr>
          <w:rFonts w:ascii="Arial" w:cs="Arial" w:eastAsia="Arial" w:hAnsi="Arial"/>
          <w:sz w:val="24"/>
          <w:szCs w:val="24"/>
        </w:rPr>
        <w:t>тгэ</w:t>
      </w:r>
      <w:r>
        <w:rPr>
          <w:rFonts w:ascii="Arial" w:cs="Arial" w:eastAsia="Arial" w:hAnsi="Arial"/>
          <w:spacing w:val="-1"/>
          <w:sz w:val="24"/>
          <w:szCs w:val="24"/>
        </w:rPr>
        <w:t>л</w:t>
      </w:r>
      <w:r>
        <w:rPr>
          <w:rFonts w:ascii="Arial" w:cs="Arial" w:eastAsia="Arial" w:hAnsi="Arial"/>
          <w:spacing w:val="3"/>
          <w:sz w:val="24"/>
          <w:szCs w:val="24"/>
        </w:rPr>
        <w:t>т</w:t>
      </w:r>
      <w:r>
        <w:rPr>
          <w:rFonts w:ascii="Arial" w:cs="Arial" w:eastAsia="Arial" w:hAnsi="Arial"/>
          <w:sz w:val="24"/>
          <w:szCs w:val="24"/>
        </w:rPr>
        <w:t>эй к</w:t>
      </w:r>
      <w:r>
        <w:rPr>
          <w:rFonts w:ascii="Arial" w:cs="Arial" w:eastAsia="Arial" w:hAnsi="Arial"/>
          <w:spacing w:val="1"/>
          <w:sz w:val="24"/>
          <w:szCs w:val="24"/>
        </w:rPr>
        <w:t>о</w:t>
      </w:r>
      <w:r>
        <w:rPr>
          <w:rFonts w:ascii="Arial" w:cs="Arial" w:eastAsia="Arial" w:hAnsi="Arial"/>
          <w:sz w:val="24"/>
          <w:szCs w:val="24"/>
        </w:rPr>
        <w:t>мп</w:t>
      </w:r>
      <w:r>
        <w:rPr>
          <w:rFonts w:ascii="Arial" w:cs="Arial" w:eastAsia="Arial" w:hAnsi="Arial"/>
          <w:spacing w:val="1"/>
          <w:sz w:val="24"/>
          <w:szCs w:val="24"/>
        </w:rPr>
        <w:t>а</w:t>
      </w:r>
      <w:r>
        <w:rPr>
          <w:rFonts w:ascii="Arial" w:cs="Arial" w:eastAsia="Arial" w:hAnsi="Arial"/>
          <w:sz w:val="24"/>
          <w:szCs w:val="24"/>
        </w:rPr>
        <w:t>ни</w:t>
      </w:r>
      <w:r>
        <w:rPr>
          <w:rFonts w:ascii="Arial" w:cs="Arial" w:eastAsia="Arial" w:hAnsi="Arial"/>
          <w:spacing w:val="-3"/>
          <w:sz w:val="24"/>
          <w:szCs w:val="24"/>
        </w:rPr>
        <w:t>у</w:t>
      </w:r>
      <w:r>
        <w:rPr>
          <w:rFonts w:ascii="Arial" w:cs="Arial" w:eastAsia="Arial" w:hAnsi="Arial"/>
          <w:sz w:val="24"/>
          <w:szCs w:val="24"/>
        </w:rPr>
        <w:t>д нь жин</w:t>
      </w:r>
      <w:r>
        <w:rPr>
          <w:rFonts w:ascii="Arial" w:cs="Arial" w:eastAsia="Arial" w:hAnsi="Arial"/>
          <w:spacing w:val="-2"/>
          <w:sz w:val="24"/>
          <w:szCs w:val="24"/>
        </w:rPr>
        <w:t>х</w:t>
      </w:r>
      <w:r>
        <w:rPr>
          <w:rFonts w:ascii="Arial" w:cs="Arial" w:eastAsia="Arial" w:hAnsi="Arial"/>
          <w:sz w:val="24"/>
          <w:szCs w:val="24"/>
        </w:rPr>
        <w:t xml:space="preserve">энэ </w:t>
      </w:r>
      <w:r>
        <w:rPr>
          <w:rFonts w:ascii="Arial" w:cs="Arial" w:eastAsia="Arial" w:hAnsi="Arial"/>
          <w:spacing w:val="-2"/>
          <w:sz w:val="24"/>
          <w:szCs w:val="24"/>
        </w:rPr>
        <w:t>у</w:t>
      </w:r>
      <w:r>
        <w:rPr>
          <w:rFonts w:ascii="Arial" w:cs="Arial" w:eastAsia="Arial" w:hAnsi="Arial"/>
          <w:sz w:val="24"/>
          <w:szCs w:val="24"/>
        </w:rPr>
        <w:t>тга</w:t>
      </w:r>
      <w:r>
        <w:rPr>
          <w:rFonts w:ascii="Arial" w:cs="Arial" w:eastAsia="Arial" w:hAnsi="Arial"/>
          <w:spacing w:val="1"/>
          <w:sz w:val="24"/>
          <w:szCs w:val="24"/>
        </w:rPr>
        <w:t>ара</w:t>
      </w:r>
      <w:r>
        <w:rPr>
          <w:rFonts w:ascii="Arial" w:cs="Arial" w:eastAsia="Arial" w:hAnsi="Arial"/>
          <w:sz w:val="24"/>
          <w:szCs w:val="24"/>
        </w:rPr>
        <w:t xml:space="preserve">а </w:t>
      </w:r>
      <w:r>
        <w:rPr>
          <w:rFonts w:ascii="Arial" w:cs="Arial" w:eastAsia="Arial" w:hAnsi="Arial"/>
          <w:spacing w:val="-2"/>
          <w:sz w:val="24"/>
          <w:szCs w:val="24"/>
        </w:rPr>
        <w:t>х</w:t>
      </w:r>
      <w:r>
        <w:rPr>
          <w:rFonts w:ascii="Arial" w:cs="Arial" w:eastAsia="Arial" w:hAnsi="Arial"/>
          <w:sz w:val="24"/>
          <w:szCs w:val="24"/>
        </w:rPr>
        <w:t>увь</w:t>
      </w:r>
      <w:r>
        <w:rPr>
          <w:rFonts w:ascii="Arial" w:cs="Arial" w:eastAsia="Arial" w:hAnsi="Arial"/>
          <w:spacing w:val="-1"/>
          <w:sz w:val="24"/>
          <w:szCs w:val="24"/>
        </w:rPr>
        <w:t>ц</w:t>
      </w:r>
      <w:r>
        <w:rPr>
          <w:rFonts w:ascii="Arial" w:cs="Arial" w:eastAsia="Arial" w:hAnsi="Arial"/>
          <w:spacing w:val="1"/>
          <w:sz w:val="24"/>
          <w:szCs w:val="24"/>
        </w:rPr>
        <w:t>аа</w:t>
      </w:r>
      <w:r>
        <w:rPr>
          <w:rFonts w:ascii="Arial" w:cs="Arial" w:eastAsia="Arial" w:hAnsi="Arial"/>
          <w:sz w:val="24"/>
          <w:szCs w:val="24"/>
        </w:rPr>
        <w:t>т к</w:t>
      </w:r>
      <w:r>
        <w:rPr>
          <w:rFonts w:ascii="Arial" w:cs="Arial" w:eastAsia="Arial" w:hAnsi="Arial"/>
          <w:spacing w:val="1"/>
          <w:sz w:val="24"/>
          <w:szCs w:val="24"/>
        </w:rPr>
        <w:t>о</w:t>
      </w:r>
      <w:r>
        <w:rPr>
          <w:rFonts w:ascii="Arial" w:cs="Arial" w:eastAsia="Arial" w:hAnsi="Arial"/>
          <w:sz w:val="24"/>
          <w:szCs w:val="24"/>
        </w:rPr>
        <w:t>м</w:t>
      </w:r>
      <w:r>
        <w:rPr>
          <w:rFonts w:ascii="Arial" w:cs="Arial" w:eastAsia="Arial" w:hAnsi="Arial"/>
          <w:spacing w:val="-2"/>
          <w:sz w:val="24"/>
          <w:szCs w:val="24"/>
        </w:rPr>
        <w:t>п</w:t>
      </w:r>
      <w:r>
        <w:rPr>
          <w:rFonts w:ascii="Arial" w:cs="Arial" w:eastAsia="Arial" w:hAnsi="Arial"/>
          <w:spacing w:val="1"/>
          <w:sz w:val="24"/>
          <w:szCs w:val="24"/>
        </w:rPr>
        <w:t>а</w:t>
      </w:r>
      <w:r>
        <w:rPr>
          <w:rFonts w:ascii="Arial" w:cs="Arial" w:eastAsia="Arial" w:hAnsi="Arial"/>
          <w:sz w:val="24"/>
          <w:szCs w:val="24"/>
        </w:rPr>
        <w:t xml:space="preserve">ни </w:t>
      </w:r>
      <w:r>
        <w:rPr>
          <w:rFonts w:ascii="Arial" w:cs="Arial" w:eastAsia="Arial" w:hAnsi="Arial"/>
          <w:spacing w:val="-1"/>
          <w:sz w:val="24"/>
          <w:szCs w:val="24"/>
        </w:rPr>
        <w:t>б</w:t>
      </w:r>
      <w:r>
        <w:rPr>
          <w:rFonts w:ascii="Arial" w:cs="Arial" w:eastAsia="Arial" w:hAnsi="Arial"/>
          <w:spacing w:val="1"/>
          <w:sz w:val="24"/>
          <w:szCs w:val="24"/>
        </w:rPr>
        <w:t>о</w:t>
      </w:r>
      <w:r>
        <w:rPr>
          <w:rFonts w:ascii="Arial" w:cs="Arial" w:eastAsia="Arial" w:hAnsi="Arial"/>
          <w:spacing w:val="-1"/>
          <w:sz w:val="24"/>
          <w:szCs w:val="24"/>
        </w:rPr>
        <w:t>л</w:t>
      </w:r>
      <w:r>
        <w:rPr>
          <w:rFonts w:ascii="Arial" w:cs="Arial" w:eastAsia="Arial" w:hAnsi="Arial"/>
          <w:sz w:val="24"/>
          <w:szCs w:val="24"/>
        </w:rPr>
        <w:t>ж</w:t>
      </w:r>
      <w:r>
        <w:rPr>
          <w:rFonts w:ascii="Arial" w:cs="Arial" w:eastAsia="Arial" w:hAnsi="Arial"/>
          <w:spacing w:val="1"/>
          <w:sz w:val="24"/>
          <w:szCs w:val="24"/>
        </w:rPr>
        <w:t xml:space="preserve"> а</w:t>
      </w:r>
      <w:r>
        <w:rPr>
          <w:rFonts w:ascii="Arial" w:cs="Arial" w:eastAsia="Arial" w:hAnsi="Arial"/>
          <w:sz w:val="24"/>
          <w:szCs w:val="24"/>
        </w:rPr>
        <w:t>жил</w:t>
      </w:r>
      <w:r>
        <w:rPr>
          <w:rFonts w:ascii="Arial" w:cs="Arial" w:eastAsia="Arial" w:hAnsi="Arial"/>
          <w:spacing w:val="-1"/>
          <w:sz w:val="24"/>
          <w:szCs w:val="24"/>
        </w:rPr>
        <w:t>л</w:t>
      </w:r>
      <w:r>
        <w:rPr>
          <w:rFonts w:ascii="Arial" w:cs="Arial" w:eastAsia="Arial" w:hAnsi="Arial"/>
          <w:spacing w:val="1"/>
          <w:sz w:val="24"/>
          <w:szCs w:val="24"/>
        </w:rPr>
        <w:t>а</w:t>
      </w:r>
      <w:r>
        <w:rPr>
          <w:rFonts w:ascii="Arial" w:cs="Arial" w:eastAsia="Arial" w:hAnsi="Arial"/>
          <w:sz w:val="24"/>
          <w:szCs w:val="24"/>
        </w:rPr>
        <w:t>ж чад</w:t>
      </w:r>
      <w:r>
        <w:rPr>
          <w:rFonts w:ascii="Arial" w:cs="Arial" w:eastAsia="Arial" w:hAnsi="Arial"/>
          <w:spacing w:val="1"/>
          <w:sz w:val="24"/>
          <w:szCs w:val="24"/>
        </w:rPr>
        <w:t>аа</w:t>
      </w:r>
      <w:r>
        <w:rPr>
          <w:rFonts w:ascii="Arial" w:cs="Arial" w:eastAsia="Arial" w:hAnsi="Arial"/>
          <w:spacing w:val="-1"/>
          <w:sz w:val="24"/>
          <w:szCs w:val="24"/>
        </w:rPr>
        <w:t>г</w:t>
      </w:r>
      <w:r>
        <w:rPr>
          <w:rFonts w:ascii="Arial" w:cs="Arial" w:eastAsia="Arial" w:hAnsi="Arial"/>
          <w:sz w:val="24"/>
          <w:szCs w:val="24"/>
        </w:rPr>
        <w:t>ү</w:t>
      </w:r>
      <w:r>
        <w:rPr>
          <w:rFonts w:ascii="Arial" w:cs="Arial" w:eastAsia="Arial" w:hAnsi="Arial"/>
          <w:spacing w:val="-2"/>
          <w:sz w:val="24"/>
          <w:szCs w:val="24"/>
        </w:rPr>
        <w:t>й</w:t>
      </w:r>
      <w:r>
        <w:rPr>
          <w:rFonts w:ascii="Arial" w:cs="Arial" w:eastAsia="Arial" w:hAnsi="Arial"/>
          <w:sz w:val="24"/>
          <w:szCs w:val="24"/>
        </w:rPr>
        <w:t>, жиж</w:t>
      </w:r>
      <w:r>
        <w:rPr>
          <w:rFonts w:ascii="Arial" w:cs="Arial" w:eastAsia="Arial" w:hAnsi="Arial"/>
          <w:spacing w:val="1"/>
          <w:sz w:val="24"/>
          <w:szCs w:val="24"/>
        </w:rPr>
        <w:t>и</w:t>
      </w:r>
      <w:r>
        <w:rPr>
          <w:rFonts w:ascii="Arial" w:cs="Arial" w:eastAsia="Arial" w:hAnsi="Arial"/>
          <w:sz w:val="24"/>
          <w:szCs w:val="24"/>
        </w:rPr>
        <w:t>г х</w:t>
      </w:r>
      <w:r>
        <w:rPr>
          <w:rFonts w:ascii="Arial" w:cs="Arial" w:eastAsia="Arial" w:hAnsi="Arial"/>
          <w:spacing w:val="-2"/>
          <w:sz w:val="24"/>
          <w:szCs w:val="24"/>
        </w:rPr>
        <w:t>у</w:t>
      </w:r>
      <w:r>
        <w:rPr>
          <w:rFonts w:ascii="Arial" w:cs="Arial" w:eastAsia="Arial" w:hAnsi="Arial"/>
          <w:sz w:val="24"/>
          <w:szCs w:val="24"/>
        </w:rPr>
        <w:t>вь</w:t>
      </w:r>
      <w:r>
        <w:rPr>
          <w:rFonts w:ascii="Arial" w:cs="Arial" w:eastAsia="Arial" w:hAnsi="Arial"/>
          <w:spacing w:val="-1"/>
          <w:sz w:val="24"/>
          <w:szCs w:val="24"/>
        </w:rPr>
        <w:t>ц</w:t>
      </w:r>
      <w:r>
        <w:rPr>
          <w:rFonts w:ascii="Arial" w:cs="Arial" w:eastAsia="Arial" w:hAnsi="Arial"/>
          <w:spacing w:val="1"/>
          <w:sz w:val="24"/>
          <w:szCs w:val="24"/>
        </w:rPr>
        <w:t>а</w:t>
      </w:r>
      <w:r>
        <w:rPr>
          <w:rFonts w:ascii="Arial" w:cs="Arial" w:eastAsia="Arial" w:hAnsi="Arial"/>
          <w:sz w:val="24"/>
          <w:szCs w:val="24"/>
        </w:rPr>
        <w:t>а эзэ</w:t>
      </w:r>
      <w:r>
        <w:rPr>
          <w:rFonts w:ascii="Arial" w:cs="Arial" w:eastAsia="Arial" w:hAnsi="Arial"/>
          <w:spacing w:val="1"/>
          <w:sz w:val="24"/>
          <w:szCs w:val="24"/>
        </w:rPr>
        <w:t>м</w:t>
      </w:r>
      <w:r>
        <w:rPr>
          <w:rFonts w:ascii="Arial" w:cs="Arial" w:eastAsia="Arial" w:hAnsi="Arial"/>
          <w:sz w:val="24"/>
          <w:szCs w:val="24"/>
        </w:rPr>
        <w:t>ши</w:t>
      </w:r>
      <w:r>
        <w:rPr>
          <w:rFonts w:ascii="Arial" w:cs="Arial" w:eastAsia="Arial" w:hAnsi="Arial"/>
          <w:spacing w:val="-1"/>
          <w:sz w:val="24"/>
          <w:szCs w:val="24"/>
        </w:rPr>
        <w:t>г</w:t>
      </w:r>
      <w:r>
        <w:rPr>
          <w:rFonts w:ascii="Arial" w:cs="Arial" w:eastAsia="Arial" w:hAnsi="Arial"/>
          <w:sz w:val="24"/>
          <w:szCs w:val="24"/>
        </w:rPr>
        <w:t>ч</w:t>
      </w:r>
      <w:r>
        <w:rPr>
          <w:rFonts w:ascii="Arial" w:cs="Arial" w:eastAsia="Arial" w:hAnsi="Arial"/>
          <w:spacing w:val="-1"/>
          <w:sz w:val="24"/>
          <w:szCs w:val="24"/>
        </w:rPr>
        <w:t>д</w:t>
      </w:r>
      <w:r>
        <w:rPr>
          <w:rFonts w:ascii="Arial" w:cs="Arial" w:eastAsia="Arial" w:hAnsi="Arial"/>
          <w:sz w:val="24"/>
          <w:szCs w:val="24"/>
        </w:rPr>
        <w:t>ийн э</w:t>
      </w:r>
      <w:r>
        <w:rPr>
          <w:rFonts w:ascii="Arial" w:cs="Arial" w:eastAsia="Arial" w:hAnsi="Arial"/>
          <w:spacing w:val="1"/>
          <w:sz w:val="24"/>
          <w:szCs w:val="24"/>
        </w:rPr>
        <w:t>р</w:t>
      </w:r>
      <w:r>
        <w:rPr>
          <w:rFonts w:ascii="Arial" w:cs="Arial" w:eastAsia="Arial" w:hAnsi="Arial"/>
          <w:sz w:val="24"/>
          <w:szCs w:val="24"/>
        </w:rPr>
        <w:t xml:space="preserve">х </w:t>
      </w:r>
      <w:r>
        <w:rPr>
          <w:rFonts w:ascii="Arial" w:cs="Arial" w:eastAsia="Arial" w:hAnsi="Arial"/>
          <w:spacing w:val="1"/>
          <w:sz w:val="24"/>
          <w:szCs w:val="24"/>
        </w:rPr>
        <w:t>а</w:t>
      </w:r>
      <w:r>
        <w:rPr>
          <w:rFonts w:ascii="Arial" w:cs="Arial" w:eastAsia="Arial" w:hAnsi="Arial"/>
          <w:sz w:val="24"/>
          <w:szCs w:val="24"/>
        </w:rPr>
        <w:t>ш</w:t>
      </w:r>
      <w:r>
        <w:rPr>
          <w:rFonts w:ascii="Arial" w:cs="Arial" w:eastAsia="Arial" w:hAnsi="Arial"/>
          <w:spacing w:val="-2"/>
          <w:sz w:val="24"/>
          <w:szCs w:val="24"/>
        </w:rPr>
        <w:t>г</w:t>
      </w:r>
      <w:r>
        <w:rPr>
          <w:rFonts w:ascii="Arial" w:cs="Arial" w:eastAsia="Arial" w:hAnsi="Arial"/>
          <w:sz w:val="24"/>
          <w:szCs w:val="24"/>
        </w:rPr>
        <w:t xml:space="preserve">ийг </w:t>
      </w:r>
      <w:r>
        <w:rPr>
          <w:rFonts w:ascii="Arial" w:cs="Arial" w:eastAsia="Arial" w:hAnsi="Arial"/>
          <w:sz w:val="24"/>
          <w:szCs w:val="24"/>
          <w:lang w:val="mn-MN"/>
        </w:rPr>
        <w:t xml:space="preserve">төдийлөн сайн хамгаалж чадахгүй байгаагийн улмаас </w:t>
      </w:r>
      <w:r>
        <w:rPr>
          <w:rFonts w:ascii="Arial" w:cs="Arial" w:eastAsia="Arial" w:hAnsi="Arial"/>
          <w:sz w:val="24"/>
          <w:szCs w:val="24"/>
        </w:rPr>
        <w:t xml:space="preserve">үнэт </w:t>
      </w:r>
      <w:r>
        <w:rPr>
          <w:rFonts w:ascii="Arial" w:cs="Arial" w:eastAsia="Arial" w:hAnsi="Arial"/>
          <w:spacing w:val="-1"/>
          <w:sz w:val="24"/>
          <w:szCs w:val="24"/>
        </w:rPr>
        <w:t>ц</w:t>
      </w:r>
      <w:r>
        <w:rPr>
          <w:rFonts w:ascii="Arial" w:cs="Arial" w:eastAsia="Arial" w:hAnsi="Arial"/>
          <w:spacing w:val="1"/>
          <w:sz w:val="24"/>
          <w:szCs w:val="24"/>
        </w:rPr>
        <w:t>аа</w:t>
      </w:r>
      <w:r>
        <w:rPr>
          <w:rFonts w:ascii="Arial" w:cs="Arial" w:eastAsia="Arial" w:hAnsi="Arial"/>
          <w:sz w:val="24"/>
          <w:szCs w:val="24"/>
        </w:rPr>
        <w:t>сны з</w:t>
      </w:r>
      <w:r>
        <w:rPr>
          <w:rFonts w:ascii="Arial" w:cs="Arial" w:eastAsia="Arial" w:hAnsi="Arial"/>
          <w:spacing w:val="8"/>
          <w:sz w:val="24"/>
          <w:szCs w:val="24"/>
        </w:rPr>
        <w:t>а</w:t>
      </w:r>
      <w:r>
        <w:rPr>
          <w:rFonts w:ascii="Arial" w:cs="Arial" w:eastAsia="Arial" w:hAnsi="Arial"/>
          <w:sz w:val="24"/>
          <w:szCs w:val="24"/>
        </w:rPr>
        <w:t>х зээл з</w:t>
      </w:r>
      <w:r>
        <w:rPr>
          <w:rFonts w:ascii="Arial" w:cs="Arial" w:eastAsia="Arial" w:hAnsi="Arial"/>
          <w:spacing w:val="1"/>
          <w:sz w:val="24"/>
          <w:szCs w:val="24"/>
        </w:rPr>
        <w:t>о</w:t>
      </w:r>
      <w:r>
        <w:rPr>
          <w:rFonts w:ascii="Arial" w:cs="Arial" w:eastAsia="Arial" w:hAnsi="Arial"/>
          <w:spacing w:val="-1"/>
          <w:sz w:val="24"/>
          <w:szCs w:val="24"/>
        </w:rPr>
        <w:t>г</w:t>
      </w:r>
      <w:r>
        <w:rPr>
          <w:rFonts w:ascii="Arial" w:cs="Arial" w:eastAsia="Arial" w:hAnsi="Arial"/>
          <w:sz w:val="24"/>
          <w:szCs w:val="24"/>
        </w:rPr>
        <w:t>с</w:t>
      </w:r>
      <w:r>
        <w:rPr>
          <w:rFonts w:ascii="Arial" w:cs="Arial" w:eastAsia="Arial" w:hAnsi="Arial"/>
          <w:spacing w:val="1"/>
          <w:sz w:val="24"/>
          <w:szCs w:val="24"/>
        </w:rPr>
        <w:t>о</w:t>
      </w:r>
      <w:r>
        <w:rPr>
          <w:rFonts w:ascii="Arial" w:cs="Arial" w:eastAsia="Arial" w:hAnsi="Arial"/>
          <w:sz w:val="24"/>
          <w:szCs w:val="24"/>
        </w:rPr>
        <w:t>н</w:t>
      </w:r>
      <w:r>
        <w:rPr>
          <w:rFonts w:ascii="Arial" w:cs="Arial" w:eastAsia="Arial" w:hAnsi="Arial"/>
          <w:spacing w:val="-2"/>
          <w:sz w:val="24"/>
          <w:szCs w:val="24"/>
        </w:rPr>
        <w:t>г</w:t>
      </w:r>
      <w:r>
        <w:rPr>
          <w:rFonts w:ascii="Arial" w:cs="Arial" w:eastAsia="Arial" w:hAnsi="Arial"/>
          <w:sz w:val="24"/>
          <w:szCs w:val="24"/>
        </w:rPr>
        <w:t xml:space="preserve">и </w:t>
      </w:r>
      <w:r>
        <w:rPr>
          <w:rFonts w:ascii="Arial" w:cs="Arial" w:eastAsia="Arial" w:hAnsi="Arial"/>
          <w:spacing w:val="2"/>
          <w:sz w:val="24"/>
          <w:szCs w:val="24"/>
        </w:rPr>
        <w:t>б</w:t>
      </w:r>
      <w:r>
        <w:rPr>
          <w:rFonts w:ascii="Arial" w:cs="Arial" w:eastAsia="Arial" w:hAnsi="Arial"/>
          <w:spacing w:val="1"/>
          <w:sz w:val="24"/>
          <w:szCs w:val="24"/>
        </w:rPr>
        <w:t>а</w:t>
      </w:r>
      <w:r>
        <w:rPr>
          <w:rFonts w:ascii="Arial" w:cs="Arial" w:eastAsia="Arial" w:hAnsi="Arial"/>
          <w:sz w:val="24"/>
          <w:szCs w:val="24"/>
        </w:rPr>
        <w:t xml:space="preserve">йдалд </w:t>
      </w:r>
      <w:r>
        <w:rPr>
          <w:rFonts w:ascii="Arial" w:cs="Arial" w:eastAsia="Arial" w:hAnsi="Arial"/>
          <w:spacing w:val="1"/>
          <w:sz w:val="24"/>
          <w:szCs w:val="24"/>
          <w:lang w:val="mn-MN"/>
        </w:rPr>
        <w:t>орсонд дүгнэлт хийж</w:t>
      </w:r>
      <w:r>
        <w:rPr>
          <w:rFonts w:ascii="Arial" w:cs="Arial" w:eastAsia="Arial" w:hAnsi="Arial"/>
          <w:sz w:val="24"/>
          <w:szCs w:val="24"/>
          <w:lang w:val="mn-MN"/>
        </w:rPr>
        <w:t xml:space="preserve"> үнэт цаасны зах зээлийг идэвхжүүлэх бодлогын арга хэмжээг авч хэрэгжүүлэх</w:t>
      </w:r>
      <w:r>
        <w:rPr>
          <w:rFonts w:ascii="Arial" w:cs="Arial" w:hAnsi="Arial"/>
          <w:sz w:val="24"/>
          <w:szCs w:val="24"/>
          <w:lang w:val="mn-MN"/>
        </w:rPr>
        <w:t>;</w:t>
      </w:r>
    </w:p>
    <w:p>
      <w:pPr>
        <w:pStyle w:val="style23"/>
        <w:tabs>
          <w:tab w:leader="none" w:pos="720" w:val="left"/>
        </w:tabs>
        <w:spacing w:after="0" w:before="0" w:line="100" w:lineRule="atLeast"/>
        <w:ind w:firstLine="360" w:left="0" w:right="32"/>
        <w:contextualSpacing/>
      </w:pPr>
      <w:r>
        <w:rPr>
          <w:rFonts w:ascii="Times New Roman" w:hAnsi="Times New Roman"/>
          <w:sz w:val="24"/>
          <w:szCs w:val="24"/>
        </w:rPr>
      </w:r>
    </w:p>
    <w:p>
      <w:pPr>
        <w:pStyle w:val="style23"/>
        <w:numPr>
          <w:ilvl w:val="0"/>
          <w:numId w:val="2"/>
        </w:numPr>
        <w:tabs>
          <w:tab w:leader="none" w:pos="720" w:val="left"/>
        </w:tabs>
        <w:spacing w:after="0" w:before="0" w:line="100" w:lineRule="atLeast"/>
        <w:ind w:hanging="360" w:left="0" w:right="32"/>
        <w:contextualSpacing/>
        <w:jc w:val="both"/>
      </w:pPr>
      <w:r>
        <w:rPr>
          <w:rFonts w:ascii="Arial" w:cs="Arial" w:hAnsi="Arial"/>
          <w:sz w:val="24"/>
          <w:szCs w:val="24"/>
          <w:lang w:val="mn-MN"/>
        </w:rPr>
        <w:t>Банк бус санхүүгийн үйл ажиллагааг нь алслагдмал орон нутгийн иргэдэд хүргэх хүртээмж хязгаарлагдмал хэвээр байгааг анхааралдаа авч, тэдгээрийн үйлчилгээний хүрээг тэлэх зохицуулалтын оновчтой бодлого боловсруулж, орон нутагт  тохирсон банк бус санхүүгийн үйлчилгээний шинэ загвар бүтээгдэхүүн нэвтрүүлэх, бичил санхүүгийн хүртээмжийг нэмэгдүүлэх арга механизмыг сайжруулах, Төвбанктай энэ чиглэлээр хамтран ажиллах;</w:t>
      </w:r>
    </w:p>
    <w:p>
      <w:pPr>
        <w:pStyle w:val="style23"/>
        <w:tabs>
          <w:tab w:leader="none" w:pos="720" w:val="left"/>
        </w:tabs>
        <w:spacing w:after="0" w:before="0" w:line="100" w:lineRule="atLeast"/>
        <w:ind w:firstLine="360" w:left="0" w:right="32"/>
        <w:contextualSpacing/>
        <w:jc w:val="both"/>
      </w:pPr>
      <w:r>
        <w:rPr>
          <w:rFonts w:ascii="Arial" w:cs="Arial" w:hAnsi="Arial"/>
          <w:sz w:val="24"/>
          <w:szCs w:val="24"/>
          <w:lang w:val="mn-MN"/>
        </w:rPr>
      </w:r>
    </w:p>
    <w:p>
      <w:pPr>
        <w:pStyle w:val="style23"/>
        <w:numPr>
          <w:ilvl w:val="0"/>
          <w:numId w:val="2"/>
        </w:numPr>
        <w:tabs>
          <w:tab w:leader="none" w:pos="720" w:val="left"/>
        </w:tabs>
        <w:spacing w:after="0" w:before="0" w:line="100" w:lineRule="atLeast"/>
        <w:ind w:hanging="360" w:left="0" w:right="32"/>
        <w:contextualSpacing/>
        <w:jc w:val="both"/>
      </w:pPr>
      <w:r>
        <w:rPr>
          <w:rFonts w:ascii="Arial" w:cs="Arial" w:hAnsi="Arial"/>
          <w:sz w:val="24"/>
          <w:szCs w:val="24"/>
          <w:lang w:val="mn-MN"/>
        </w:rPr>
        <w:t>Санхүүгийн тогтвортой байдлын зөвлөлөөр валютын биржийн тогтолцооны талаарх асуудлыг хэлэлцүүлж, валютын үйл ажиллагаанд зохицуулалт, хяналтын оновчтой тогтолцоог бий болгох, 2014 оны мөнгөний бодлогын үндсэн чиглэлтэй уялдуулах;</w:t>
      </w:r>
    </w:p>
    <w:p>
      <w:pPr>
        <w:pStyle w:val="style23"/>
        <w:tabs>
          <w:tab w:leader="none" w:pos="720" w:val="left"/>
        </w:tabs>
        <w:spacing w:after="0" w:before="0" w:line="100" w:lineRule="atLeast"/>
        <w:ind w:firstLine="360" w:left="0" w:right="32"/>
        <w:contextualSpacing/>
        <w:jc w:val="both"/>
      </w:pPr>
      <w:r>
        <w:rPr>
          <w:rFonts w:ascii="Arial" w:cs="Arial" w:hAnsi="Arial"/>
          <w:sz w:val="24"/>
          <w:szCs w:val="24"/>
          <w:lang w:val="mn-MN"/>
        </w:rPr>
      </w:r>
    </w:p>
    <w:p>
      <w:pPr>
        <w:pStyle w:val="style23"/>
        <w:numPr>
          <w:ilvl w:val="0"/>
          <w:numId w:val="2"/>
        </w:numPr>
        <w:tabs>
          <w:tab w:leader="none" w:pos="720" w:val="left"/>
        </w:tabs>
        <w:spacing w:after="0" w:before="0" w:line="100" w:lineRule="atLeast"/>
        <w:ind w:hanging="360" w:left="0" w:right="32"/>
        <w:contextualSpacing/>
        <w:jc w:val="both"/>
      </w:pPr>
      <w:r>
        <w:rPr>
          <w:rFonts w:ascii="Arial" w:cs="Arial" w:hAnsi="Arial"/>
          <w:sz w:val="24"/>
          <w:szCs w:val="24"/>
          <w:lang w:val="mn-MN"/>
        </w:rPr>
        <w:t>Бичил санхүүгийн болон банк бус санхүүгийн байгууллагуудыг зээлийн мэдээллийн санд бүрэн хамруулах, зээлийн хүүг бууруулах бодлогын орчинг бий болгох;</w:t>
      </w:r>
    </w:p>
    <w:p>
      <w:pPr>
        <w:pStyle w:val="style23"/>
        <w:tabs>
          <w:tab w:leader="none" w:pos="720" w:val="left"/>
        </w:tabs>
        <w:spacing w:after="0" w:before="0" w:line="100" w:lineRule="atLeast"/>
        <w:ind w:firstLine="360" w:left="0" w:right="32"/>
        <w:contextualSpacing/>
        <w:jc w:val="both"/>
      </w:pPr>
      <w:r>
        <w:rPr>
          <w:rFonts w:ascii="Arial" w:cs="Arial" w:hAnsi="Arial"/>
          <w:sz w:val="24"/>
          <w:szCs w:val="24"/>
          <w:lang w:val="mn-MN"/>
        </w:rPr>
      </w:r>
    </w:p>
    <w:p>
      <w:pPr>
        <w:pStyle w:val="style23"/>
        <w:numPr>
          <w:ilvl w:val="0"/>
          <w:numId w:val="2"/>
        </w:numPr>
        <w:tabs>
          <w:tab w:leader="none" w:pos="720" w:val="left"/>
        </w:tabs>
        <w:spacing w:after="0" w:before="0" w:line="100" w:lineRule="atLeast"/>
        <w:ind w:hanging="360" w:left="0" w:right="32"/>
        <w:contextualSpacing/>
        <w:jc w:val="both"/>
      </w:pPr>
      <w:r>
        <w:rPr>
          <w:rFonts w:ascii="Arial" w:cs="Arial" w:hAnsi="Arial"/>
          <w:sz w:val="24"/>
          <w:szCs w:val="24"/>
          <w:lang w:val="mn-MN"/>
        </w:rPr>
        <w:t>Иргэд, даатгуулагчдын санхүүгийн болон даатгалын талаарх мэдлэг боловсролыг дээшлүүлж, харилцагчдын эрх ашгийг хамгаалах,</w:t>
      </w:r>
      <w:r>
        <w:rPr>
          <w:rFonts w:ascii="Arial" w:cs="Arial" w:hAnsi="Arial"/>
          <w:sz w:val="24"/>
          <w:szCs w:val="24"/>
        </w:rPr>
        <w:t xml:space="preserve"> </w:t>
      </w:r>
      <w:r>
        <w:rPr>
          <w:rFonts w:ascii="Arial" w:cs="Arial" w:hAnsi="Arial"/>
          <w:sz w:val="24"/>
          <w:szCs w:val="24"/>
          <w:lang w:val="mn-MN"/>
        </w:rPr>
        <w:t>үндэсний давхар даатгалын компани байгуулах талаар судалгаа хийж, үндэслэл боловсруулах;</w:t>
      </w:r>
    </w:p>
    <w:p>
      <w:pPr>
        <w:pStyle w:val="style23"/>
        <w:tabs>
          <w:tab w:leader="none" w:pos="720" w:val="left"/>
        </w:tabs>
        <w:spacing w:after="0" w:before="0" w:line="100" w:lineRule="atLeast"/>
        <w:ind w:firstLine="360" w:left="0" w:right="32"/>
        <w:contextualSpacing/>
        <w:jc w:val="both"/>
      </w:pPr>
      <w:r>
        <w:rPr>
          <w:rFonts w:ascii="Arial" w:cs="Arial" w:hAnsi="Arial"/>
          <w:sz w:val="24"/>
          <w:szCs w:val="24"/>
          <w:lang w:val="mn-MN"/>
        </w:rPr>
      </w:r>
    </w:p>
    <w:p>
      <w:pPr>
        <w:pStyle w:val="style23"/>
        <w:numPr>
          <w:ilvl w:val="0"/>
          <w:numId w:val="2"/>
        </w:numPr>
        <w:tabs>
          <w:tab w:leader="none" w:pos="720" w:val="left"/>
        </w:tabs>
        <w:spacing w:after="0" w:before="0" w:line="100" w:lineRule="atLeast"/>
        <w:ind w:hanging="360" w:left="0" w:right="32"/>
        <w:contextualSpacing/>
        <w:jc w:val="both"/>
      </w:pPr>
      <w:r>
        <w:rPr>
          <w:rFonts w:ascii="Arial" w:cs="Arial" w:hAnsi="Arial"/>
          <w:sz w:val="24"/>
          <w:szCs w:val="24"/>
          <w:lang w:val="mn-MN"/>
        </w:rPr>
        <w:t>Хууль тогтоомжийн хэрэгжилтэд тавих хяналтыг сайжруулах.</w:t>
      </w:r>
    </w:p>
    <w:p>
      <w:pPr>
        <w:pStyle w:val="style0"/>
        <w:tabs>
          <w:tab w:leader="none" w:pos="720" w:val="left"/>
        </w:tabs>
        <w:spacing w:after="0" w:before="0" w:line="100" w:lineRule="atLeast"/>
        <w:ind w:hanging="0" w:left="0" w:right="32"/>
        <w:contextualSpacing w:val="false"/>
        <w:jc w:val="both"/>
      </w:pPr>
      <w:r>
        <w:rPr>
          <w:rFonts w:ascii="Arial" w:cs="Arial" w:hAnsi="Arial"/>
          <w:sz w:val="24"/>
          <w:szCs w:val="24"/>
          <w:lang w:val="mn-MN"/>
        </w:rPr>
      </w:r>
    </w:p>
    <w:p>
      <w:pPr>
        <w:pStyle w:val="style0"/>
        <w:tabs>
          <w:tab w:leader="none" w:pos="720" w:val="left"/>
        </w:tabs>
        <w:spacing w:after="0" w:before="0" w:line="100" w:lineRule="atLeast"/>
        <w:ind w:hanging="0" w:left="0" w:right="32"/>
        <w:contextualSpacing w:val="false"/>
        <w:jc w:val="both"/>
      </w:pPr>
      <w:r>
        <w:rPr>
          <w:rFonts w:ascii="Arial" w:cs="Arial" w:hAnsi="Arial"/>
          <w:sz w:val="24"/>
          <w:szCs w:val="24"/>
          <w:lang w:val="mn-MN"/>
        </w:rPr>
      </w:r>
    </w:p>
    <w:p>
      <w:pPr>
        <w:pStyle w:val="style0"/>
        <w:tabs>
          <w:tab w:leader="none" w:pos="720" w:val="left"/>
        </w:tabs>
        <w:spacing w:after="0" w:before="0" w:line="100" w:lineRule="atLeast"/>
        <w:ind w:hanging="0" w:left="0" w:right="32"/>
        <w:contextualSpacing w:val="false"/>
        <w:jc w:val="both"/>
      </w:pPr>
      <w:r>
        <w:rPr>
          <w:rFonts w:ascii="Arial" w:cs="Arial" w:hAnsi="Arial"/>
          <w:sz w:val="24"/>
          <w:szCs w:val="24"/>
          <w:lang w:val="mn-MN"/>
        </w:rPr>
      </w:r>
    </w:p>
    <w:p>
      <w:pPr>
        <w:pStyle w:val="style0"/>
        <w:tabs>
          <w:tab w:leader="none" w:pos="720" w:val="left"/>
        </w:tabs>
        <w:spacing w:after="0" w:before="0" w:line="100" w:lineRule="atLeast"/>
        <w:ind w:hanging="0" w:left="0" w:right="32"/>
        <w:contextualSpacing w:val="false"/>
        <w:jc w:val="both"/>
      </w:pPr>
      <w:r>
        <w:rPr>
          <w:rFonts w:ascii="Arial" w:cs="Arial" w:hAnsi="Arial"/>
          <w:sz w:val="24"/>
          <w:szCs w:val="24"/>
          <w:lang w:val="mn-MN"/>
        </w:rPr>
      </w:r>
    </w:p>
    <w:p>
      <w:pPr>
        <w:pStyle w:val="style0"/>
        <w:tabs>
          <w:tab w:leader="none" w:pos="720" w:val="left"/>
        </w:tabs>
        <w:spacing w:after="0" w:before="0" w:line="100" w:lineRule="atLeast"/>
        <w:ind w:hanging="0" w:left="0" w:right="32"/>
        <w:contextualSpacing w:val="false"/>
        <w:jc w:val="both"/>
      </w:pPr>
      <w:r>
        <w:rPr>
          <w:rFonts w:ascii="Arial" w:cs="Arial" w:hAnsi="Arial"/>
          <w:sz w:val="24"/>
          <w:szCs w:val="24"/>
          <w:lang w:val="mn-MN"/>
        </w:rPr>
      </w:r>
    </w:p>
    <w:p>
      <w:pPr>
        <w:pStyle w:val="style0"/>
        <w:tabs>
          <w:tab w:leader="none" w:pos="426" w:val="left"/>
          <w:tab w:leader="none" w:pos="1665" w:val="left"/>
        </w:tabs>
        <w:spacing w:line="360" w:lineRule="auto"/>
        <w:ind w:hanging="0" w:left="0" w:right="-161"/>
        <w:jc w:val="center"/>
      </w:pPr>
      <w:r>
        <w:rPr>
          <w:rFonts w:ascii="Arial" w:cs="Arial" w:hAnsi="Arial"/>
          <w:b/>
          <w:sz w:val="24"/>
          <w:szCs w:val="24"/>
          <w:lang w:val="mn-MN"/>
        </w:rPr>
        <w:t>Эдийн засгийн байнгын хорооны ажлын алба.</w:t>
      </w:r>
    </w:p>
    <w:p>
      <w:pPr>
        <w:pStyle w:val="style0"/>
      </w:pPr>
      <w:r>
        <w:rPr/>
      </w:r>
    </w:p>
    <w:sectPr>
      <w:type w:val="nextPage"/>
      <w:pgSz w:h="15840" w:w="12240"/>
      <w:pgMar w:bottom="1440" w:footer="0" w:gutter="0" w:header="0" w:left="1440" w:right="1440" w:top="1440"/>
      <w:pgNumType w:fmt="decimal"/>
      <w:formProt w:val="false"/>
      <w:textDirection w:val="lrTb"/>
      <w:docGrid w:charSpace="4096"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s>
</file>

<file path=word/numbering.xml><?xml version="1.0" encoding="utf-8"?>
<w:numbering xmlns:w="http://schemas.openxmlformats.org/wordprocessingml/2006/main">
  <w:abstractNum w:abstractNumId="1">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2">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3">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0"/>
  <w:defaultTabStop w:val="720"/>
</w:settings>
</file>

<file path=word/styles.xml><?xml version="1.0" encoding="utf-8"?>
<w:styles xmlns:w="http://schemas.openxmlformats.org/wordprocessingml/2006/main">
  <w:style w:styleId="style0" w:type="paragraph">
    <w:name w:val="Normal"/>
    <w:next w:val="style0"/>
    <w:pPr>
      <w:widowControl/>
      <w:tabs/>
      <w:suppressAutoHyphens w:val="true"/>
      <w:spacing w:after="200" w:before="0" w:line="276" w:lineRule="auto"/>
      <w:contextualSpacing w:val="false"/>
    </w:pPr>
    <w:rPr>
      <w:rFonts w:ascii="Calibri" w:cs="" w:eastAsia="SimSun" w:hAnsi="Calibri"/>
      <w:color w:val="auto"/>
      <w:sz w:val="22"/>
      <w:szCs w:val="22"/>
      <w:lang w:bidi="ar-SA" w:eastAsia="en-US" w:val="en-US"/>
    </w:rPr>
  </w:style>
  <w:style w:styleId="style15" w:type="character">
    <w:name w:val="Default Paragraph Font"/>
    <w:next w:val="style15"/>
    <w:rPr/>
  </w:style>
  <w:style w:styleId="style16" w:type="character">
    <w:name w:val="List Paragraph Char"/>
    <w:next w:val="style16"/>
    <w:rPr>
      <w:rFonts w:ascii="Calibri" w:cs="Times New Roman" w:eastAsia="Times New Roman" w:hAnsi="Calibri"/>
    </w:rPr>
  </w:style>
  <w:style w:styleId="style17" w:type="character">
    <w:name w:val="ListLabel 1"/>
    <w:next w:val="style17"/>
    <w:rPr>
      <w:rFonts w:cs=""/>
    </w:rPr>
  </w:style>
  <w:style w:styleId="style18" w:type="paragraph">
    <w:name w:val="Heading"/>
    <w:basedOn w:val="style0"/>
    <w:next w:val="style19"/>
    <w:pPr>
      <w:keepNext/>
      <w:spacing w:after="120" w:before="240"/>
      <w:contextualSpacing w:val="false"/>
    </w:pPr>
    <w:rPr>
      <w:rFonts w:ascii="Arial" w:cs="Mangal" w:eastAsia="Microsoft YaHei" w:hAnsi="Arial"/>
      <w:sz w:val="28"/>
      <w:szCs w:val="28"/>
    </w:rPr>
  </w:style>
  <w:style w:styleId="style19" w:type="paragraph">
    <w:name w:val="Text body"/>
    <w:basedOn w:val="style0"/>
    <w:next w:val="style19"/>
    <w:pPr>
      <w:spacing w:after="120" w:before="0"/>
      <w:contextualSpacing w:val="false"/>
    </w:pPr>
    <w:rPr/>
  </w:style>
  <w:style w:styleId="style20" w:type="paragraph">
    <w:name w:val="List"/>
    <w:basedOn w:val="style19"/>
    <w:next w:val="style20"/>
    <w:pPr/>
    <w:rPr>
      <w:rFonts w:cs="Mangal"/>
    </w:rPr>
  </w:style>
  <w:style w:styleId="style21" w:type="paragraph">
    <w:name w:val="Caption"/>
    <w:basedOn w:val="style0"/>
    <w:next w:val="style21"/>
    <w:pPr>
      <w:suppressLineNumbers/>
      <w:spacing w:after="120" w:before="120"/>
      <w:contextualSpacing w:val="false"/>
    </w:pPr>
    <w:rPr>
      <w:rFonts w:cs="Mangal"/>
      <w:i/>
      <w:iCs/>
      <w:sz w:val="24"/>
      <w:szCs w:val="24"/>
    </w:rPr>
  </w:style>
  <w:style w:styleId="style22" w:type="paragraph">
    <w:name w:val="Index"/>
    <w:basedOn w:val="style0"/>
    <w:next w:val="style22"/>
    <w:pPr>
      <w:suppressLineNumbers/>
    </w:pPr>
    <w:rPr>
      <w:rFonts w:cs="Mangal"/>
    </w:rPr>
  </w:style>
  <w:style w:styleId="style23" w:type="paragraph">
    <w:name w:val="List Paragraph"/>
    <w:basedOn w:val="style0"/>
    <w:next w:val="style23"/>
    <w:pPr>
      <w:spacing w:after="200" w:before="0"/>
      <w:ind w:hanging="0" w:left="720" w:right="0"/>
      <w:contextualSpacing/>
    </w:pPr>
    <w:rPr>
      <w:rFonts w:ascii="Calibri" w:cs="Times New Roman" w:eastAsia="Times New Roman" w:hAnsi="Calib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17</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2014-01-06T07:02:00.00Z</dcterms:created>
  <dc:creator>Bayarmaa</dc:creator>
  <cp:lastModifiedBy>Bayarmaa</cp:lastModifiedBy>
  <dcterms:modified xsi:type="dcterms:W3CDTF">2014-01-07T06:20:00.00Z</dcterms:modified>
  <cp:revision>26</cp:revision>
</cp:coreProperties>
</file>