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4F2B124D" w14:textId="6301E5D0" w:rsidR="000805AB" w:rsidRPr="00EA302B" w:rsidRDefault="00E73A30" w:rsidP="00EA302B">
      <w:pPr>
        <w:rPr>
          <w:rFonts w:ascii="Arial" w:hAnsi="Arial" w:cs="Arial"/>
          <w:bCs/>
          <w:noProof/>
          <w:color w:val="000000"/>
        </w:rPr>
      </w:pPr>
      <w:r w:rsidRPr="00C724D9">
        <w:rPr>
          <w:rFonts w:ascii="Arial" w:eastAsia="Arial" w:hAnsi="Arial" w:cs="Arial"/>
          <w:b/>
          <w:noProof/>
          <w:color w:val="000000"/>
          <w:lang w:val="mn-MN"/>
        </w:rPr>
        <w:t xml:space="preserve"> </w:t>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r w:rsidR="000805AB" w:rsidRPr="001B5862">
        <w:rPr>
          <w:rFonts w:ascii="Arial" w:eastAsia="Arial" w:hAnsi="Arial" w:cs="Arial"/>
          <w:color w:val="000000" w:themeColor="text1"/>
          <w:shd w:val="clear" w:color="auto" w:fill="FFFFFF"/>
          <w:lang w:val="mn-MN"/>
        </w:rPr>
        <w:tab/>
      </w:r>
    </w:p>
    <w:p w14:paraId="769E0EB2" w14:textId="442B6A95" w:rsidR="00EA302B" w:rsidRDefault="000805AB" w:rsidP="00EA302B">
      <w:pPr>
        <w:jc w:val="center"/>
        <w:textAlignment w:val="baseline"/>
        <w:rPr>
          <w:rFonts w:ascii="Arial" w:eastAsia="Times New Roman" w:hAnsi="Arial" w:cs="Arial"/>
          <w:b/>
          <w:bCs/>
          <w:sz w:val="22"/>
          <w:szCs w:val="22"/>
          <w:lang w:val="mn-MN"/>
        </w:rPr>
      </w:pPr>
      <w:r w:rsidRPr="001B5862">
        <w:rPr>
          <w:rFonts w:ascii="Arial" w:eastAsia="Arial" w:hAnsi="Arial" w:cs="Arial"/>
          <w:b/>
          <w:color w:val="000000" w:themeColor="text1"/>
          <w:shd w:val="clear" w:color="auto" w:fill="FFFFFF"/>
          <w:lang w:val="mn-MN"/>
        </w:rPr>
        <w:t xml:space="preserve">  </w:t>
      </w:r>
      <w:r w:rsidR="00EA302B">
        <w:rPr>
          <w:rFonts w:ascii="Arial" w:eastAsia="Times New Roman" w:hAnsi="Arial" w:cs="Arial"/>
          <w:b/>
          <w:bCs/>
          <w:sz w:val="22"/>
          <w:szCs w:val="22"/>
          <w:lang w:val="mn-MN"/>
        </w:rPr>
        <w:t xml:space="preserve">  </w:t>
      </w:r>
      <w:r w:rsidR="00EA302B" w:rsidRPr="0071188A">
        <w:rPr>
          <w:rFonts w:ascii="Arial" w:eastAsia="Times New Roman" w:hAnsi="Arial" w:cs="Arial"/>
          <w:b/>
          <w:bCs/>
          <w:sz w:val="22"/>
          <w:szCs w:val="22"/>
          <w:lang w:val="mn-MN"/>
        </w:rPr>
        <w:t>МОНГОЛ УЛСЫН НЭГДСЭН ТӨСВИЙН</w:t>
      </w:r>
    </w:p>
    <w:p w14:paraId="28A6B9E0" w14:textId="77777777" w:rsidR="00EA302B" w:rsidRDefault="00EA302B" w:rsidP="00EA302B">
      <w:pPr>
        <w:jc w:val="center"/>
        <w:textAlignment w:val="baseline"/>
        <w:rPr>
          <w:rFonts w:ascii="Arial" w:eastAsia="Times New Roman" w:hAnsi="Arial" w:cs="Arial"/>
          <w:b/>
          <w:bCs/>
          <w:sz w:val="22"/>
          <w:szCs w:val="22"/>
          <w:lang w:val="mn-MN"/>
        </w:rPr>
      </w:pPr>
      <w:r>
        <w:rPr>
          <w:rFonts w:ascii="Arial" w:eastAsia="Times New Roman" w:hAnsi="Arial" w:cs="Arial"/>
          <w:b/>
          <w:bCs/>
          <w:sz w:val="22"/>
          <w:szCs w:val="22"/>
          <w:lang w:val="mn-MN"/>
        </w:rPr>
        <w:t xml:space="preserve">   </w:t>
      </w:r>
      <w:r w:rsidRPr="0071188A">
        <w:rPr>
          <w:rFonts w:ascii="Arial" w:eastAsia="Times New Roman" w:hAnsi="Arial" w:cs="Arial"/>
          <w:b/>
          <w:bCs/>
          <w:sz w:val="22"/>
          <w:szCs w:val="22"/>
          <w:lang w:val="mn-MN"/>
        </w:rPr>
        <w:t>2025 ОНЫ</w:t>
      </w:r>
      <w:r>
        <w:rPr>
          <w:rFonts w:ascii="Arial" w:eastAsia="Times New Roman" w:hAnsi="Arial" w:cs="Arial"/>
          <w:b/>
          <w:bCs/>
          <w:sz w:val="22"/>
          <w:szCs w:val="22"/>
          <w:lang w:val="mn-MN"/>
        </w:rPr>
        <w:t xml:space="preserve"> </w:t>
      </w:r>
      <w:r w:rsidRPr="0071188A">
        <w:rPr>
          <w:rFonts w:ascii="Arial" w:eastAsia="Times New Roman" w:hAnsi="Arial" w:cs="Arial"/>
          <w:b/>
          <w:bCs/>
          <w:sz w:val="22"/>
          <w:szCs w:val="22"/>
          <w:lang w:val="mn-MN"/>
        </w:rPr>
        <w:t>ТӨСВИЙН ХҮРЭЭНИЙ</w:t>
      </w:r>
    </w:p>
    <w:p w14:paraId="1F359FEB" w14:textId="77777777" w:rsidR="00EA302B" w:rsidRDefault="00EA302B" w:rsidP="00EA302B">
      <w:pPr>
        <w:jc w:val="center"/>
        <w:textAlignment w:val="baseline"/>
        <w:rPr>
          <w:rFonts w:ascii="Arial" w:eastAsia="Times New Roman" w:hAnsi="Arial" w:cs="Arial"/>
          <w:b/>
          <w:bCs/>
          <w:sz w:val="22"/>
          <w:szCs w:val="22"/>
          <w:lang w:val="mn-MN"/>
        </w:rPr>
      </w:pPr>
      <w:r>
        <w:rPr>
          <w:rFonts w:ascii="Arial" w:eastAsia="Times New Roman" w:hAnsi="Arial" w:cs="Arial"/>
          <w:b/>
          <w:bCs/>
          <w:sz w:val="22"/>
          <w:szCs w:val="22"/>
          <w:lang w:val="mn-MN"/>
        </w:rPr>
        <w:t xml:space="preserve">   </w:t>
      </w:r>
      <w:r w:rsidRPr="0071188A">
        <w:rPr>
          <w:rFonts w:ascii="Arial" w:eastAsia="Times New Roman" w:hAnsi="Arial" w:cs="Arial"/>
          <w:b/>
          <w:bCs/>
          <w:sz w:val="22"/>
          <w:szCs w:val="22"/>
          <w:lang w:val="mn-MN"/>
        </w:rPr>
        <w:t>МЭДЭГДЭЛ, 2026-2027 ОНЫ</w:t>
      </w:r>
      <w:r>
        <w:rPr>
          <w:rFonts w:ascii="Arial" w:eastAsia="Times New Roman" w:hAnsi="Arial" w:cs="Arial"/>
          <w:b/>
          <w:bCs/>
          <w:sz w:val="22"/>
          <w:szCs w:val="22"/>
          <w:lang w:val="mn-MN"/>
        </w:rPr>
        <w:t xml:space="preserve"> </w:t>
      </w:r>
      <w:r w:rsidRPr="0071188A">
        <w:rPr>
          <w:rFonts w:ascii="Arial" w:eastAsia="Times New Roman" w:hAnsi="Arial" w:cs="Arial"/>
          <w:b/>
          <w:bCs/>
          <w:sz w:val="22"/>
          <w:szCs w:val="22"/>
          <w:lang w:val="mn-MN"/>
        </w:rPr>
        <w:t>ТӨСВИЙН</w:t>
      </w:r>
    </w:p>
    <w:p w14:paraId="6744B02B" w14:textId="77777777" w:rsidR="00EA302B" w:rsidRPr="0071188A" w:rsidRDefault="00EA302B" w:rsidP="00EA302B">
      <w:pPr>
        <w:jc w:val="center"/>
        <w:textAlignment w:val="baseline"/>
        <w:rPr>
          <w:rFonts w:ascii="Arial" w:eastAsia="Times New Roman" w:hAnsi="Arial" w:cs="Arial"/>
          <w:sz w:val="22"/>
          <w:szCs w:val="22"/>
          <w:lang w:val="mn-MN"/>
        </w:rPr>
      </w:pPr>
      <w:r>
        <w:rPr>
          <w:rFonts w:ascii="Arial" w:eastAsia="Times New Roman" w:hAnsi="Arial" w:cs="Arial"/>
          <w:b/>
          <w:bCs/>
          <w:sz w:val="22"/>
          <w:szCs w:val="22"/>
          <w:lang w:val="mn-MN"/>
        </w:rPr>
        <w:t xml:space="preserve">   </w:t>
      </w:r>
      <w:r w:rsidRPr="0071188A">
        <w:rPr>
          <w:rFonts w:ascii="Arial" w:eastAsia="Times New Roman" w:hAnsi="Arial" w:cs="Arial"/>
          <w:b/>
          <w:bCs/>
          <w:sz w:val="22"/>
          <w:szCs w:val="22"/>
          <w:lang w:val="mn-MN"/>
        </w:rPr>
        <w:t>ТӨСӨӨЛЛИЙН ТУХАЙ</w:t>
      </w:r>
    </w:p>
    <w:p w14:paraId="51274B7E" w14:textId="77777777" w:rsidR="00EA302B" w:rsidRPr="0071188A" w:rsidRDefault="00EA302B" w:rsidP="00EA302B">
      <w:pPr>
        <w:jc w:val="center"/>
        <w:textAlignment w:val="baseline"/>
        <w:rPr>
          <w:rFonts w:ascii="Arial" w:eastAsia="Times New Roman" w:hAnsi="Arial" w:cs="Arial"/>
          <w:sz w:val="22"/>
          <w:szCs w:val="22"/>
          <w:lang w:val="mn-MN"/>
        </w:rPr>
      </w:pPr>
    </w:p>
    <w:p w14:paraId="467B5EF1" w14:textId="77777777" w:rsidR="00D771F8" w:rsidRPr="00013EBE" w:rsidRDefault="00D771F8" w:rsidP="00D771F8">
      <w:pPr>
        <w:spacing w:after="120"/>
        <w:ind w:firstLine="720"/>
        <w:jc w:val="both"/>
        <w:textAlignment w:val="baseline"/>
        <w:rPr>
          <w:rFonts w:ascii="Arial" w:eastAsia="Times New Roman" w:hAnsi="Arial" w:cs="Arial"/>
          <w:b/>
          <w:lang w:val="mn-MN"/>
        </w:rPr>
      </w:pPr>
      <w:r w:rsidRPr="00013EBE">
        <w:rPr>
          <w:rFonts w:ascii="Arial" w:eastAsia="Times New Roman" w:hAnsi="Arial" w:cs="Arial"/>
          <w:b/>
          <w:lang w:val="mn-MN"/>
        </w:rPr>
        <w:t>1 дүгээр зүйл.</w:t>
      </w:r>
      <w:r w:rsidRPr="00013EBE">
        <w:rPr>
          <w:rFonts w:ascii="Arial" w:eastAsia="Times New Roman" w:hAnsi="Arial" w:cs="Arial"/>
          <w:lang w:val="mn-MN"/>
        </w:rPr>
        <w:t>Монгол Улсын нэгдсэн төсвийн 2025 оны төсвийн хүрээний мэдэгдэл, 2026-2027 оны төсвийн төсөөллийн үзүүлэлтийг доор дурдсанаар баталсугай:</w:t>
      </w:r>
      <w:r w:rsidRPr="00013EBE">
        <w:rPr>
          <w:rFonts w:ascii="Arial" w:eastAsia="Times New Roman" w:hAnsi="Arial" w:cs="Arial"/>
          <w:b/>
          <w:lang w:val="mn-M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4884"/>
        <w:gridCol w:w="1418"/>
        <w:gridCol w:w="1414"/>
        <w:gridCol w:w="1274"/>
      </w:tblGrid>
      <w:tr w:rsidR="00D771F8" w:rsidRPr="00013EBE" w14:paraId="5DAFB1D1" w14:textId="77777777" w:rsidTr="00231671">
        <w:trPr>
          <w:trHeight w:val="855"/>
        </w:trPr>
        <w:tc>
          <w:tcPr>
            <w:tcW w:w="2802" w:type="pct"/>
            <w:gridSpan w:val="2"/>
            <w:vMerge w:val="restart"/>
            <w:shd w:val="clear" w:color="auto" w:fill="auto"/>
            <w:noWrap/>
            <w:vAlign w:val="center"/>
            <w:hideMark/>
          </w:tcPr>
          <w:p w14:paraId="05F62483"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Эдийн засгийн үндсэн үзүүлэлт</w:t>
            </w:r>
          </w:p>
        </w:tc>
        <w:tc>
          <w:tcPr>
            <w:tcW w:w="759" w:type="pct"/>
            <w:shd w:val="clear" w:color="auto" w:fill="auto"/>
            <w:vAlign w:val="center"/>
            <w:hideMark/>
          </w:tcPr>
          <w:p w14:paraId="4EE36AB7"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Төсвийн хүрээний мэдэгдэл</w:t>
            </w:r>
          </w:p>
        </w:tc>
        <w:tc>
          <w:tcPr>
            <w:tcW w:w="1439" w:type="pct"/>
            <w:gridSpan w:val="2"/>
            <w:shd w:val="clear" w:color="auto" w:fill="auto"/>
            <w:noWrap/>
            <w:vAlign w:val="center"/>
            <w:hideMark/>
          </w:tcPr>
          <w:p w14:paraId="0581C002"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Төсвийн төсөөлөл</w:t>
            </w:r>
          </w:p>
        </w:tc>
      </w:tr>
      <w:tr w:rsidR="00D771F8" w:rsidRPr="00013EBE" w14:paraId="34DCE71C" w14:textId="77777777" w:rsidTr="00231671">
        <w:trPr>
          <w:trHeight w:val="330"/>
        </w:trPr>
        <w:tc>
          <w:tcPr>
            <w:tcW w:w="2802" w:type="pct"/>
            <w:gridSpan w:val="2"/>
            <w:vMerge/>
            <w:vAlign w:val="center"/>
            <w:hideMark/>
          </w:tcPr>
          <w:p w14:paraId="38457565" w14:textId="77777777" w:rsidR="00D771F8" w:rsidRPr="00013EBE" w:rsidRDefault="00D771F8" w:rsidP="00231671">
            <w:pPr>
              <w:rPr>
                <w:rFonts w:ascii="Arial" w:eastAsia="Times New Roman" w:hAnsi="Arial" w:cs="Arial"/>
                <w:b/>
                <w:bCs/>
                <w:color w:val="000000"/>
                <w:lang w:val="mn-MN"/>
              </w:rPr>
            </w:pPr>
          </w:p>
        </w:tc>
        <w:tc>
          <w:tcPr>
            <w:tcW w:w="759" w:type="pct"/>
            <w:shd w:val="clear" w:color="auto" w:fill="auto"/>
            <w:noWrap/>
            <w:vAlign w:val="center"/>
            <w:hideMark/>
          </w:tcPr>
          <w:p w14:paraId="5BB56EB1"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2025 он</w:t>
            </w:r>
          </w:p>
        </w:tc>
        <w:tc>
          <w:tcPr>
            <w:tcW w:w="757" w:type="pct"/>
            <w:shd w:val="clear" w:color="auto" w:fill="auto"/>
            <w:noWrap/>
            <w:vAlign w:val="center"/>
            <w:hideMark/>
          </w:tcPr>
          <w:p w14:paraId="5A6475AF"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2026 он</w:t>
            </w:r>
          </w:p>
        </w:tc>
        <w:tc>
          <w:tcPr>
            <w:tcW w:w="682" w:type="pct"/>
            <w:shd w:val="clear" w:color="auto" w:fill="auto"/>
            <w:noWrap/>
            <w:vAlign w:val="center"/>
            <w:hideMark/>
          </w:tcPr>
          <w:p w14:paraId="5B039E4D" w14:textId="77777777" w:rsidR="00D771F8" w:rsidRPr="00013EBE" w:rsidRDefault="00D771F8" w:rsidP="00231671">
            <w:pPr>
              <w:jc w:val="center"/>
              <w:rPr>
                <w:rFonts w:ascii="Arial" w:eastAsia="Times New Roman" w:hAnsi="Arial" w:cs="Arial"/>
                <w:b/>
                <w:bCs/>
                <w:color w:val="000000"/>
                <w:lang w:val="mn-MN"/>
              </w:rPr>
            </w:pPr>
            <w:r w:rsidRPr="00013EBE">
              <w:rPr>
                <w:rFonts w:ascii="Arial" w:eastAsia="Times New Roman" w:hAnsi="Arial" w:cs="Arial"/>
                <w:b/>
                <w:bCs/>
                <w:color w:val="000000"/>
                <w:lang w:val="mn-MN"/>
              </w:rPr>
              <w:t>2027 он</w:t>
            </w:r>
          </w:p>
        </w:tc>
      </w:tr>
      <w:tr w:rsidR="00D771F8" w:rsidRPr="00013EBE" w14:paraId="4F22F9B1" w14:textId="77777777" w:rsidTr="00231671">
        <w:trPr>
          <w:trHeight w:val="570"/>
        </w:trPr>
        <w:tc>
          <w:tcPr>
            <w:tcW w:w="187" w:type="pct"/>
            <w:shd w:val="clear" w:color="auto" w:fill="auto"/>
            <w:noWrap/>
            <w:vAlign w:val="center"/>
            <w:hideMark/>
          </w:tcPr>
          <w:p w14:paraId="199AEFAC"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1</w:t>
            </w:r>
          </w:p>
        </w:tc>
        <w:tc>
          <w:tcPr>
            <w:tcW w:w="2615" w:type="pct"/>
            <w:shd w:val="clear" w:color="auto" w:fill="auto"/>
            <w:vAlign w:val="bottom"/>
            <w:hideMark/>
          </w:tcPr>
          <w:p w14:paraId="67E94C6F"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Дотоодын нийт бүтээгдэхүүний бодит өсөлтийн хэмжээ /хувь/</w:t>
            </w:r>
          </w:p>
        </w:tc>
        <w:tc>
          <w:tcPr>
            <w:tcW w:w="759" w:type="pct"/>
            <w:shd w:val="clear" w:color="auto" w:fill="auto"/>
            <w:noWrap/>
            <w:vAlign w:val="center"/>
            <w:hideMark/>
          </w:tcPr>
          <w:p w14:paraId="7C262BF1"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8.0 </w:t>
            </w:r>
          </w:p>
        </w:tc>
        <w:tc>
          <w:tcPr>
            <w:tcW w:w="757" w:type="pct"/>
            <w:shd w:val="clear" w:color="auto" w:fill="auto"/>
            <w:noWrap/>
            <w:vAlign w:val="center"/>
            <w:hideMark/>
          </w:tcPr>
          <w:p w14:paraId="5F70B2C9"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6.5    </w:t>
            </w:r>
          </w:p>
        </w:tc>
        <w:tc>
          <w:tcPr>
            <w:tcW w:w="682" w:type="pct"/>
            <w:shd w:val="clear" w:color="auto" w:fill="auto"/>
            <w:noWrap/>
            <w:vAlign w:val="center"/>
            <w:hideMark/>
          </w:tcPr>
          <w:p w14:paraId="0187BB24"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6.5    </w:t>
            </w:r>
          </w:p>
        </w:tc>
      </w:tr>
      <w:tr w:rsidR="00D771F8" w:rsidRPr="00013EBE" w14:paraId="754A0024" w14:textId="77777777" w:rsidTr="00231671">
        <w:trPr>
          <w:trHeight w:val="285"/>
        </w:trPr>
        <w:tc>
          <w:tcPr>
            <w:tcW w:w="187" w:type="pct"/>
            <w:shd w:val="clear" w:color="auto" w:fill="auto"/>
            <w:noWrap/>
            <w:vAlign w:val="center"/>
            <w:hideMark/>
          </w:tcPr>
          <w:p w14:paraId="0BD1DC30"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2</w:t>
            </w:r>
          </w:p>
        </w:tc>
        <w:tc>
          <w:tcPr>
            <w:tcW w:w="2615" w:type="pct"/>
            <w:shd w:val="clear" w:color="auto" w:fill="auto"/>
            <w:noWrap/>
            <w:vAlign w:val="bottom"/>
            <w:hideMark/>
          </w:tcPr>
          <w:p w14:paraId="0CF8D710"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Хэрэглээний үнийн өсөлтийн түвшин</w:t>
            </w:r>
          </w:p>
        </w:tc>
        <w:tc>
          <w:tcPr>
            <w:tcW w:w="759" w:type="pct"/>
            <w:shd w:val="clear" w:color="auto" w:fill="auto"/>
            <w:noWrap/>
            <w:vAlign w:val="center"/>
            <w:hideMark/>
          </w:tcPr>
          <w:p w14:paraId="415F2813"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7.2 </w:t>
            </w:r>
          </w:p>
        </w:tc>
        <w:tc>
          <w:tcPr>
            <w:tcW w:w="757" w:type="pct"/>
            <w:shd w:val="clear" w:color="auto" w:fill="auto"/>
            <w:noWrap/>
            <w:vAlign w:val="center"/>
            <w:hideMark/>
          </w:tcPr>
          <w:p w14:paraId="7A9141A2"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5.0    </w:t>
            </w:r>
          </w:p>
        </w:tc>
        <w:tc>
          <w:tcPr>
            <w:tcW w:w="682" w:type="pct"/>
            <w:shd w:val="clear" w:color="auto" w:fill="auto"/>
            <w:noWrap/>
            <w:vAlign w:val="center"/>
            <w:hideMark/>
          </w:tcPr>
          <w:p w14:paraId="318FD0CC" w14:textId="77777777" w:rsidR="00D771F8" w:rsidRPr="00013EBE" w:rsidRDefault="00D771F8" w:rsidP="00231671">
            <w:pPr>
              <w:jc w:val="right"/>
              <w:rPr>
                <w:rFonts w:ascii="Arial" w:eastAsia="Times New Roman" w:hAnsi="Arial" w:cs="Arial"/>
                <w:color w:val="000000"/>
                <w:lang w:val="mn-MN"/>
              </w:rPr>
            </w:pPr>
            <w:r w:rsidRPr="00013EBE">
              <w:rPr>
                <w:rFonts w:ascii="Arial" w:hAnsi="Arial" w:cs="Arial"/>
                <w:color w:val="000000" w:themeColor="text1"/>
                <w:lang w:val="mn-MN"/>
              </w:rPr>
              <w:t xml:space="preserve">   4.0    </w:t>
            </w:r>
          </w:p>
        </w:tc>
      </w:tr>
      <w:tr w:rsidR="00D771F8" w:rsidRPr="00013EBE" w14:paraId="3FCCCA5D" w14:textId="77777777" w:rsidTr="00231671">
        <w:trPr>
          <w:trHeight w:val="570"/>
        </w:trPr>
        <w:tc>
          <w:tcPr>
            <w:tcW w:w="187" w:type="pct"/>
            <w:vMerge w:val="restart"/>
            <w:shd w:val="clear" w:color="auto" w:fill="auto"/>
            <w:noWrap/>
            <w:vAlign w:val="center"/>
            <w:hideMark/>
          </w:tcPr>
          <w:p w14:paraId="32F463B5"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3</w:t>
            </w:r>
          </w:p>
        </w:tc>
        <w:tc>
          <w:tcPr>
            <w:tcW w:w="2615" w:type="pct"/>
            <w:shd w:val="clear" w:color="auto" w:fill="auto"/>
            <w:vAlign w:val="bottom"/>
            <w:hideMark/>
          </w:tcPr>
          <w:p w14:paraId="64A1EFB1"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 xml:space="preserve">Нэгдсэн төсвийн тэнцвэржүүлсэн орлогын доод хэмжээ /тэрбум төгрөг/ </w:t>
            </w:r>
          </w:p>
        </w:tc>
        <w:tc>
          <w:tcPr>
            <w:tcW w:w="759" w:type="pct"/>
            <w:shd w:val="clear" w:color="auto" w:fill="auto"/>
            <w:noWrap/>
            <w:vAlign w:val="center"/>
            <w:hideMark/>
          </w:tcPr>
          <w:p w14:paraId="33754A72"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33,470.0</w:t>
            </w:r>
          </w:p>
        </w:tc>
        <w:tc>
          <w:tcPr>
            <w:tcW w:w="757" w:type="pct"/>
            <w:shd w:val="clear" w:color="auto" w:fill="auto"/>
            <w:noWrap/>
            <w:vAlign w:val="center"/>
            <w:hideMark/>
          </w:tcPr>
          <w:p w14:paraId="35B5B588"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34,755.6</w:t>
            </w:r>
          </w:p>
        </w:tc>
        <w:tc>
          <w:tcPr>
            <w:tcW w:w="682" w:type="pct"/>
            <w:shd w:val="clear" w:color="auto" w:fill="auto"/>
            <w:noWrap/>
            <w:vAlign w:val="center"/>
            <w:hideMark/>
          </w:tcPr>
          <w:p w14:paraId="1701EC23"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38,263.0</w:t>
            </w:r>
          </w:p>
        </w:tc>
      </w:tr>
      <w:tr w:rsidR="00D771F8" w:rsidRPr="00013EBE" w14:paraId="0647151C" w14:textId="77777777" w:rsidTr="00231671">
        <w:trPr>
          <w:trHeight w:val="285"/>
        </w:trPr>
        <w:tc>
          <w:tcPr>
            <w:tcW w:w="187" w:type="pct"/>
            <w:vMerge/>
            <w:vAlign w:val="center"/>
            <w:hideMark/>
          </w:tcPr>
          <w:p w14:paraId="2E7C2ED9"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noWrap/>
            <w:vAlign w:val="bottom"/>
            <w:hideMark/>
          </w:tcPr>
          <w:p w14:paraId="6D1E053C" w14:textId="77777777" w:rsidR="00D771F8" w:rsidRPr="00013EBE" w:rsidRDefault="00D771F8" w:rsidP="00231671">
            <w:pPr>
              <w:ind w:left="385" w:hanging="385"/>
              <w:jc w:val="both"/>
              <w:rPr>
                <w:rFonts w:ascii="Arial" w:eastAsia="Times New Roman" w:hAnsi="Arial" w:cs="Arial"/>
                <w:color w:val="000000"/>
                <w:lang w:val="mn-MN"/>
              </w:rPr>
            </w:pPr>
            <w:r w:rsidRPr="00013EBE">
              <w:rPr>
                <w:rFonts w:ascii="Arial" w:hAnsi="Arial" w:cs="Arial"/>
                <w:color w:val="000000"/>
                <w:lang w:val="mn-MN"/>
              </w:rPr>
              <w:t xml:space="preserve">      -Дотоодын нийт бүтээгдэхүүнд эзлэх хувь</w:t>
            </w:r>
          </w:p>
        </w:tc>
        <w:tc>
          <w:tcPr>
            <w:tcW w:w="759" w:type="pct"/>
            <w:shd w:val="clear" w:color="auto" w:fill="auto"/>
            <w:noWrap/>
            <w:vAlign w:val="center"/>
            <w:hideMark/>
          </w:tcPr>
          <w:p w14:paraId="33BBB6CC"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35.2</w:t>
            </w:r>
          </w:p>
        </w:tc>
        <w:tc>
          <w:tcPr>
            <w:tcW w:w="757" w:type="pct"/>
            <w:shd w:val="clear" w:color="auto" w:fill="auto"/>
            <w:noWrap/>
            <w:vAlign w:val="center"/>
            <w:hideMark/>
          </w:tcPr>
          <w:p w14:paraId="43608E72"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33.2</w:t>
            </w:r>
          </w:p>
        </w:tc>
        <w:tc>
          <w:tcPr>
            <w:tcW w:w="682" w:type="pct"/>
            <w:shd w:val="clear" w:color="auto" w:fill="auto"/>
            <w:noWrap/>
            <w:vAlign w:val="center"/>
            <w:hideMark/>
          </w:tcPr>
          <w:p w14:paraId="6A457930"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32.8</w:t>
            </w:r>
          </w:p>
        </w:tc>
      </w:tr>
      <w:tr w:rsidR="00D771F8" w:rsidRPr="00013EBE" w14:paraId="5DB3BA52" w14:textId="77777777" w:rsidTr="00231671">
        <w:trPr>
          <w:trHeight w:val="570"/>
        </w:trPr>
        <w:tc>
          <w:tcPr>
            <w:tcW w:w="187" w:type="pct"/>
            <w:vMerge w:val="restart"/>
            <w:shd w:val="clear" w:color="auto" w:fill="auto"/>
            <w:noWrap/>
            <w:vAlign w:val="center"/>
            <w:hideMark/>
          </w:tcPr>
          <w:p w14:paraId="70019182"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4</w:t>
            </w:r>
          </w:p>
        </w:tc>
        <w:tc>
          <w:tcPr>
            <w:tcW w:w="2615" w:type="pct"/>
            <w:shd w:val="clear" w:color="auto" w:fill="auto"/>
            <w:vAlign w:val="bottom"/>
            <w:hideMark/>
          </w:tcPr>
          <w:p w14:paraId="07382D3A"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Нэгдсэн төсвийн нийт зарлагын дээд хэмжээ /тэрбум төгрөг/</w:t>
            </w:r>
          </w:p>
        </w:tc>
        <w:tc>
          <w:tcPr>
            <w:tcW w:w="759" w:type="pct"/>
            <w:shd w:val="clear" w:color="auto" w:fill="auto"/>
            <w:noWrap/>
            <w:vAlign w:val="center"/>
            <w:hideMark/>
          </w:tcPr>
          <w:p w14:paraId="112BCD6F"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33,470.0</w:t>
            </w:r>
          </w:p>
        </w:tc>
        <w:tc>
          <w:tcPr>
            <w:tcW w:w="757" w:type="pct"/>
            <w:shd w:val="clear" w:color="auto" w:fill="auto"/>
            <w:noWrap/>
            <w:vAlign w:val="center"/>
            <w:hideMark/>
          </w:tcPr>
          <w:p w14:paraId="5874DA1D"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34,755.6</w:t>
            </w:r>
          </w:p>
        </w:tc>
        <w:tc>
          <w:tcPr>
            <w:tcW w:w="682" w:type="pct"/>
            <w:shd w:val="clear" w:color="auto" w:fill="auto"/>
            <w:noWrap/>
            <w:vAlign w:val="center"/>
            <w:hideMark/>
          </w:tcPr>
          <w:p w14:paraId="15E06C9F"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38,263.0</w:t>
            </w:r>
          </w:p>
        </w:tc>
      </w:tr>
      <w:tr w:rsidR="00D771F8" w:rsidRPr="00013EBE" w14:paraId="350E56D3" w14:textId="77777777" w:rsidTr="00231671">
        <w:trPr>
          <w:trHeight w:val="285"/>
        </w:trPr>
        <w:tc>
          <w:tcPr>
            <w:tcW w:w="187" w:type="pct"/>
            <w:vMerge/>
            <w:vAlign w:val="center"/>
            <w:hideMark/>
          </w:tcPr>
          <w:p w14:paraId="52FFBC39"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vAlign w:val="bottom"/>
            <w:hideMark/>
          </w:tcPr>
          <w:p w14:paraId="37E4A7C8" w14:textId="77777777" w:rsidR="00D771F8" w:rsidRPr="00013EBE" w:rsidRDefault="00D771F8" w:rsidP="00231671">
            <w:pPr>
              <w:ind w:left="395"/>
              <w:jc w:val="both"/>
              <w:rPr>
                <w:rFonts w:ascii="Arial" w:eastAsia="Times New Roman" w:hAnsi="Arial" w:cs="Arial"/>
                <w:color w:val="000000"/>
                <w:lang w:val="mn-MN"/>
              </w:rPr>
            </w:pPr>
            <w:r w:rsidRPr="00013EBE">
              <w:rPr>
                <w:rFonts w:ascii="Arial" w:hAnsi="Arial" w:cs="Arial"/>
                <w:color w:val="000000"/>
                <w:lang w:val="mn-MN"/>
              </w:rPr>
              <w:t>-Дотоодын нийт бүтээгдэхүүнд эзлэх  хувь</w:t>
            </w:r>
          </w:p>
        </w:tc>
        <w:tc>
          <w:tcPr>
            <w:tcW w:w="759" w:type="pct"/>
            <w:shd w:val="clear" w:color="auto" w:fill="auto"/>
            <w:noWrap/>
            <w:vAlign w:val="center"/>
            <w:hideMark/>
          </w:tcPr>
          <w:p w14:paraId="5A056BA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35.2</w:t>
            </w:r>
          </w:p>
        </w:tc>
        <w:tc>
          <w:tcPr>
            <w:tcW w:w="757" w:type="pct"/>
            <w:shd w:val="clear" w:color="auto" w:fill="auto"/>
            <w:noWrap/>
            <w:vAlign w:val="center"/>
            <w:hideMark/>
          </w:tcPr>
          <w:p w14:paraId="1D002197"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33.2</w:t>
            </w:r>
          </w:p>
        </w:tc>
        <w:tc>
          <w:tcPr>
            <w:tcW w:w="682" w:type="pct"/>
            <w:shd w:val="clear" w:color="auto" w:fill="auto"/>
            <w:noWrap/>
            <w:vAlign w:val="center"/>
            <w:hideMark/>
          </w:tcPr>
          <w:p w14:paraId="2915669D"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32.8</w:t>
            </w:r>
          </w:p>
        </w:tc>
      </w:tr>
      <w:tr w:rsidR="00D771F8" w:rsidRPr="00013EBE" w14:paraId="181DE6FA" w14:textId="77777777" w:rsidTr="00231671">
        <w:trPr>
          <w:trHeight w:val="570"/>
        </w:trPr>
        <w:tc>
          <w:tcPr>
            <w:tcW w:w="187" w:type="pct"/>
            <w:vMerge w:val="restart"/>
            <w:shd w:val="clear" w:color="auto" w:fill="auto"/>
            <w:noWrap/>
            <w:vAlign w:val="center"/>
            <w:hideMark/>
          </w:tcPr>
          <w:p w14:paraId="0225A291"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5</w:t>
            </w:r>
          </w:p>
        </w:tc>
        <w:tc>
          <w:tcPr>
            <w:tcW w:w="2615" w:type="pct"/>
            <w:shd w:val="clear" w:color="auto" w:fill="auto"/>
            <w:vAlign w:val="bottom"/>
            <w:hideMark/>
          </w:tcPr>
          <w:p w14:paraId="78DA33D8"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Нэгдсэн төсвийн тэнцвэржүүлсэн тэнцэл /тэрбум төгрөг/</w:t>
            </w:r>
          </w:p>
        </w:tc>
        <w:tc>
          <w:tcPr>
            <w:tcW w:w="759" w:type="pct"/>
            <w:shd w:val="clear" w:color="auto" w:fill="auto"/>
            <w:noWrap/>
            <w:vAlign w:val="center"/>
            <w:hideMark/>
          </w:tcPr>
          <w:p w14:paraId="6603D4E3"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c>
          <w:tcPr>
            <w:tcW w:w="757" w:type="pct"/>
            <w:shd w:val="clear" w:color="auto" w:fill="auto"/>
            <w:noWrap/>
            <w:vAlign w:val="center"/>
            <w:hideMark/>
          </w:tcPr>
          <w:p w14:paraId="3C0AFD21"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c>
          <w:tcPr>
            <w:tcW w:w="682" w:type="pct"/>
            <w:shd w:val="clear" w:color="auto" w:fill="auto"/>
            <w:noWrap/>
            <w:vAlign w:val="center"/>
            <w:hideMark/>
          </w:tcPr>
          <w:p w14:paraId="0C9DADB6"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r>
      <w:tr w:rsidR="00D771F8" w:rsidRPr="00013EBE" w14:paraId="10DC431B" w14:textId="77777777" w:rsidTr="00231671">
        <w:trPr>
          <w:trHeight w:val="285"/>
        </w:trPr>
        <w:tc>
          <w:tcPr>
            <w:tcW w:w="187" w:type="pct"/>
            <w:vMerge/>
            <w:vAlign w:val="center"/>
            <w:hideMark/>
          </w:tcPr>
          <w:p w14:paraId="4E32BFB7"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vAlign w:val="bottom"/>
            <w:hideMark/>
          </w:tcPr>
          <w:p w14:paraId="0BF1A07B" w14:textId="77777777" w:rsidR="00D771F8" w:rsidRPr="00013EBE" w:rsidRDefault="00D771F8" w:rsidP="00231671">
            <w:pPr>
              <w:ind w:left="385" w:firstLine="10"/>
              <w:jc w:val="both"/>
              <w:rPr>
                <w:rFonts w:ascii="Arial" w:eastAsia="Times New Roman" w:hAnsi="Arial" w:cs="Arial"/>
                <w:color w:val="000000"/>
                <w:lang w:val="mn-MN"/>
              </w:rPr>
            </w:pPr>
            <w:r w:rsidRPr="00013EBE">
              <w:rPr>
                <w:rFonts w:ascii="Arial" w:hAnsi="Arial" w:cs="Arial"/>
                <w:color w:val="000000"/>
                <w:lang w:val="mn-MN"/>
              </w:rPr>
              <w:t>-Дотоодын нийт бүтээгдэхүүнд эзлэх хувь</w:t>
            </w:r>
          </w:p>
        </w:tc>
        <w:tc>
          <w:tcPr>
            <w:tcW w:w="759" w:type="pct"/>
            <w:shd w:val="clear" w:color="auto" w:fill="auto"/>
            <w:noWrap/>
            <w:vAlign w:val="center"/>
            <w:hideMark/>
          </w:tcPr>
          <w:p w14:paraId="4FA64FB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c>
          <w:tcPr>
            <w:tcW w:w="757" w:type="pct"/>
            <w:shd w:val="clear" w:color="auto" w:fill="auto"/>
            <w:noWrap/>
            <w:vAlign w:val="center"/>
            <w:hideMark/>
          </w:tcPr>
          <w:p w14:paraId="3A4D392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c>
          <w:tcPr>
            <w:tcW w:w="682" w:type="pct"/>
            <w:shd w:val="clear" w:color="auto" w:fill="auto"/>
            <w:noWrap/>
            <w:vAlign w:val="center"/>
            <w:hideMark/>
          </w:tcPr>
          <w:p w14:paraId="3F96A247"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0.0</w:t>
            </w:r>
          </w:p>
        </w:tc>
      </w:tr>
      <w:tr w:rsidR="00D771F8" w:rsidRPr="00013EBE" w14:paraId="3ECBDCF3" w14:textId="77777777" w:rsidTr="00231671">
        <w:trPr>
          <w:trHeight w:val="570"/>
        </w:trPr>
        <w:tc>
          <w:tcPr>
            <w:tcW w:w="187" w:type="pct"/>
            <w:vMerge w:val="restart"/>
            <w:shd w:val="clear" w:color="auto" w:fill="auto"/>
            <w:noWrap/>
            <w:vAlign w:val="center"/>
            <w:hideMark/>
          </w:tcPr>
          <w:p w14:paraId="6D0716F5"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6</w:t>
            </w:r>
          </w:p>
        </w:tc>
        <w:tc>
          <w:tcPr>
            <w:tcW w:w="2615" w:type="pct"/>
            <w:shd w:val="clear" w:color="auto" w:fill="auto"/>
            <w:vAlign w:val="center"/>
            <w:hideMark/>
          </w:tcPr>
          <w:p w14:paraId="44089F07"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Нэгдсэн төсвийн суурь зарлагын дээд хэмжээ  /тэрбум төгрөг/</w:t>
            </w:r>
          </w:p>
        </w:tc>
        <w:tc>
          <w:tcPr>
            <w:tcW w:w="759" w:type="pct"/>
            <w:shd w:val="clear" w:color="auto" w:fill="auto"/>
            <w:noWrap/>
            <w:vAlign w:val="center"/>
            <w:hideMark/>
          </w:tcPr>
          <w:p w14:paraId="19C9AA4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30,296.5</w:t>
            </w:r>
          </w:p>
        </w:tc>
        <w:tc>
          <w:tcPr>
            <w:tcW w:w="757" w:type="pct"/>
            <w:shd w:val="clear" w:color="auto" w:fill="auto"/>
            <w:noWrap/>
            <w:vAlign w:val="center"/>
            <w:hideMark/>
          </w:tcPr>
          <w:p w14:paraId="689664B8"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32,661.5</w:t>
            </w:r>
          </w:p>
        </w:tc>
        <w:tc>
          <w:tcPr>
            <w:tcW w:w="682" w:type="pct"/>
            <w:shd w:val="clear" w:color="auto" w:fill="auto"/>
            <w:noWrap/>
            <w:vAlign w:val="center"/>
            <w:hideMark/>
          </w:tcPr>
          <w:p w14:paraId="6CA2DB81"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35,927.6</w:t>
            </w:r>
          </w:p>
        </w:tc>
      </w:tr>
      <w:tr w:rsidR="00D771F8" w:rsidRPr="00013EBE" w14:paraId="532BCF3B" w14:textId="77777777" w:rsidTr="00231671">
        <w:trPr>
          <w:trHeight w:val="285"/>
        </w:trPr>
        <w:tc>
          <w:tcPr>
            <w:tcW w:w="187" w:type="pct"/>
            <w:vMerge/>
            <w:vAlign w:val="center"/>
            <w:hideMark/>
          </w:tcPr>
          <w:p w14:paraId="2DE81E23"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vAlign w:val="center"/>
            <w:hideMark/>
          </w:tcPr>
          <w:p w14:paraId="3CD8DF9C" w14:textId="77777777" w:rsidR="00D771F8" w:rsidRPr="00013EBE" w:rsidRDefault="00D771F8" w:rsidP="00231671">
            <w:pPr>
              <w:ind w:left="385" w:firstLine="10"/>
              <w:jc w:val="both"/>
              <w:rPr>
                <w:rFonts w:ascii="Arial" w:eastAsia="Times New Roman" w:hAnsi="Arial" w:cs="Arial"/>
                <w:color w:val="000000"/>
                <w:lang w:val="mn-MN"/>
              </w:rPr>
            </w:pPr>
            <w:r w:rsidRPr="00013EBE">
              <w:rPr>
                <w:rFonts w:ascii="Arial" w:hAnsi="Arial" w:cs="Arial"/>
                <w:color w:val="000000"/>
                <w:lang w:val="mn-MN"/>
              </w:rPr>
              <w:t>-Дотоодын нийт бүтээгдэхүүнд эзлэх хувь</w:t>
            </w:r>
          </w:p>
        </w:tc>
        <w:tc>
          <w:tcPr>
            <w:tcW w:w="759" w:type="pct"/>
            <w:shd w:val="clear" w:color="auto" w:fill="auto"/>
            <w:noWrap/>
            <w:vAlign w:val="center"/>
            <w:hideMark/>
          </w:tcPr>
          <w:p w14:paraId="670734AB"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 xml:space="preserve"> 31.9 </w:t>
            </w:r>
          </w:p>
        </w:tc>
        <w:tc>
          <w:tcPr>
            <w:tcW w:w="757" w:type="pct"/>
            <w:shd w:val="clear" w:color="auto" w:fill="auto"/>
            <w:noWrap/>
            <w:vAlign w:val="center"/>
            <w:hideMark/>
          </w:tcPr>
          <w:p w14:paraId="1A7C6B86"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 xml:space="preserve"> 31.2 </w:t>
            </w:r>
          </w:p>
        </w:tc>
        <w:tc>
          <w:tcPr>
            <w:tcW w:w="682" w:type="pct"/>
            <w:shd w:val="clear" w:color="auto" w:fill="auto"/>
            <w:noWrap/>
            <w:vAlign w:val="center"/>
            <w:hideMark/>
          </w:tcPr>
          <w:p w14:paraId="3235C0A2"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 xml:space="preserve"> 30.8 </w:t>
            </w:r>
          </w:p>
        </w:tc>
      </w:tr>
      <w:tr w:rsidR="00D771F8" w:rsidRPr="00013EBE" w14:paraId="33BDE58B" w14:textId="77777777" w:rsidTr="00231671">
        <w:trPr>
          <w:trHeight w:val="570"/>
        </w:trPr>
        <w:tc>
          <w:tcPr>
            <w:tcW w:w="187" w:type="pct"/>
            <w:vMerge w:val="restart"/>
            <w:shd w:val="clear" w:color="auto" w:fill="auto"/>
            <w:noWrap/>
            <w:vAlign w:val="center"/>
            <w:hideMark/>
          </w:tcPr>
          <w:p w14:paraId="52B9F61B"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7</w:t>
            </w:r>
          </w:p>
        </w:tc>
        <w:tc>
          <w:tcPr>
            <w:tcW w:w="2615" w:type="pct"/>
            <w:shd w:val="clear" w:color="auto" w:fill="auto"/>
            <w:vAlign w:val="center"/>
            <w:hideMark/>
          </w:tcPr>
          <w:p w14:paraId="43234452"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Нэгдсэн төсвийн суурь тэнцэл /тэрбум төгрөг/</w:t>
            </w:r>
          </w:p>
        </w:tc>
        <w:tc>
          <w:tcPr>
            <w:tcW w:w="759" w:type="pct"/>
            <w:shd w:val="clear" w:color="auto" w:fill="auto"/>
            <w:noWrap/>
            <w:vAlign w:val="center"/>
            <w:hideMark/>
          </w:tcPr>
          <w:p w14:paraId="3B00E7D0"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3,173.4</w:t>
            </w:r>
          </w:p>
        </w:tc>
        <w:tc>
          <w:tcPr>
            <w:tcW w:w="757" w:type="pct"/>
            <w:shd w:val="clear" w:color="auto" w:fill="auto"/>
            <w:noWrap/>
            <w:vAlign w:val="center"/>
            <w:hideMark/>
          </w:tcPr>
          <w:p w14:paraId="2CC9F13A"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2,094.1</w:t>
            </w:r>
          </w:p>
        </w:tc>
        <w:tc>
          <w:tcPr>
            <w:tcW w:w="682" w:type="pct"/>
            <w:shd w:val="clear" w:color="auto" w:fill="auto"/>
            <w:noWrap/>
            <w:vAlign w:val="center"/>
            <w:hideMark/>
          </w:tcPr>
          <w:p w14:paraId="5A380FAA"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2,335.4</w:t>
            </w:r>
          </w:p>
        </w:tc>
      </w:tr>
      <w:tr w:rsidR="00D771F8" w:rsidRPr="00013EBE" w14:paraId="14AEBCFB" w14:textId="77777777" w:rsidTr="00231671">
        <w:trPr>
          <w:trHeight w:val="285"/>
        </w:trPr>
        <w:tc>
          <w:tcPr>
            <w:tcW w:w="187" w:type="pct"/>
            <w:vMerge/>
            <w:vAlign w:val="center"/>
            <w:hideMark/>
          </w:tcPr>
          <w:p w14:paraId="171BD7D8"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vAlign w:val="center"/>
            <w:hideMark/>
          </w:tcPr>
          <w:p w14:paraId="223444D9" w14:textId="77777777" w:rsidR="00D771F8" w:rsidRPr="00013EBE" w:rsidRDefault="00D771F8" w:rsidP="00231671">
            <w:pPr>
              <w:ind w:left="385"/>
              <w:jc w:val="both"/>
              <w:rPr>
                <w:rFonts w:ascii="Arial" w:eastAsia="Times New Roman" w:hAnsi="Arial" w:cs="Arial"/>
                <w:color w:val="000000"/>
                <w:lang w:val="mn-MN"/>
              </w:rPr>
            </w:pPr>
            <w:r w:rsidRPr="00013EBE">
              <w:rPr>
                <w:rFonts w:ascii="Arial" w:hAnsi="Arial" w:cs="Arial"/>
                <w:color w:val="000000"/>
                <w:lang w:val="mn-MN"/>
              </w:rPr>
              <w:t>-Дотоодын нийт бүтээгдэхүүнд эзлэх хувь</w:t>
            </w:r>
          </w:p>
        </w:tc>
        <w:tc>
          <w:tcPr>
            <w:tcW w:w="759" w:type="pct"/>
            <w:shd w:val="clear" w:color="auto" w:fill="auto"/>
            <w:noWrap/>
            <w:vAlign w:val="center"/>
            <w:hideMark/>
          </w:tcPr>
          <w:p w14:paraId="4A420855"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3.3</w:t>
            </w:r>
          </w:p>
        </w:tc>
        <w:tc>
          <w:tcPr>
            <w:tcW w:w="757" w:type="pct"/>
            <w:shd w:val="clear" w:color="auto" w:fill="auto"/>
            <w:noWrap/>
            <w:vAlign w:val="center"/>
            <w:hideMark/>
          </w:tcPr>
          <w:p w14:paraId="62467400"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2.0</w:t>
            </w:r>
          </w:p>
        </w:tc>
        <w:tc>
          <w:tcPr>
            <w:tcW w:w="682" w:type="pct"/>
            <w:shd w:val="clear" w:color="auto" w:fill="auto"/>
            <w:noWrap/>
            <w:vAlign w:val="center"/>
            <w:hideMark/>
          </w:tcPr>
          <w:p w14:paraId="43DD1D02"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2.0</w:t>
            </w:r>
          </w:p>
        </w:tc>
      </w:tr>
      <w:tr w:rsidR="00D771F8" w:rsidRPr="00013EBE" w14:paraId="5FA5C2F1" w14:textId="77777777" w:rsidTr="00231671">
        <w:trPr>
          <w:trHeight w:val="570"/>
        </w:trPr>
        <w:tc>
          <w:tcPr>
            <w:tcW w:w="187" w:type="pct"/>
            <w:vMerge w:val="restart"/>
            <w:shd w:val="clear" w:color="auto" w:fill="auto"/>
            <w:noWrap/>
            <w:vAlign w:val="center"/>
            <w:hideMark/>
          </w:tcPr>
          <w:p w14:paraId="0E94A834"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t>8</w:t>
            </w:r>
          </w:p>
        </w:tc>
        <w:tc>
          <w:tcPr>
            <w:tcW w:w="2615" w:type="pct"/>
            <w:shd w:val="clear" w:color="auto" w:fill="auto"/>
            <w:vAlign w:val="bottom"/>
            <w:hideMark/>
          </w:tcPr>
          <w:p w14:paraId="78057D26"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Засгийн газрын өрийн нийт хэмжээ /тэрбум төгрөг/</w:t>
            </w:r>
          </w:p>
        </w:tc>
        <w:tc>
          <w:tcPr>
            <w:tcW w:w="759" w:type="pct"/>
            <w:shd w:val="clear" w:color="auto" w:fill="auto"/>
            <w:noWrap/>
            <w:vAlign w:val="center"/>
            <w:hideMark/>
          </w:tcPr>
          <w:p w14:paraId="059F05BB"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52,255.5</w:t>
            </w:r>
          </w:p>
        </w:tc>
        <w:tc>
          <w:tcPr>
            <w:tcW w:w="757" w:type="pct"/>
            <w:shd w:val="clear" w:color="auto" w:fill="auto"/>
            <w:noWrap/>
            <w:vAlign w:val="center"/>
            <w:hideMark/>
          </w:tcPr>
          <w:p w14:paraId="40AB9234"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52,352.9</w:t>
            </w:r>
          </w:p>
        </w:tc>
        <w:tc>
          <w:tcPr>
            <w:tcW w:w="682" w:type="pct"/>
            <w:shd w:val="clear" w:color="auto" w:fill="auto"/>
            <w:noWrap/>
            <w:vAlign w:val="center"/>
            <w:hideMark/>
          </w:tcPr>
          <w:p w14:paraId="1114A25F"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52,547.2</w:t>
            </w:r>
          </w:p>
        </w:tc>
      </w:tr>
      <w:tr w:rsidR="00D771F8" w:rsidRPr="00013EBE" w14:paraId="59903AB3" w14:textId="77777777" w:rsidTr="00231671">
        <w:trPr>
          <w:trHeight w:val="285"/>
        </w:trPr>
        <w:tc>
          <w:tcPr>
            <w:tcW w:w="187" w:type="pct"/>
            <w:vMerge/>
            <w:vAlign w:val="center"/>
            <w:hideMark/>
          </w:tcPr>
          <w:p w14:paraId="75348CBC" w14:textId="77777777" w:rsidR="00D771F8" w:rsidRPr="00013EBE" w:rsidRDefault="00D771F8" w:rsidP="00231671">
            <w:pPr>
              <w:jc w:val="center"/>
              <w:rPr>
                <w:rFonts w:ascii="Arial" w:eastAsia="Times New Roman" w:hAnsi="Arial" w:cs="Arial"/>
                <w:color w:val="000000"/>
                <w:lang w:val="mn-MN"/>
              </w:rPr>
            </w:pPr>
          </w:p>
        </w:tc>
        <w:tc>
          <w:tcPr>
            <w:tcW w:w="2615" w:type="pct"/>
            <w:shd w:val="clear" w:color="auto" w:fill="auto"/>
            <w:vAlign w:val="bottom"/>
            <w:hideMark/>
          </w:tcPr>
          <w:p w14:paraId="7C080BCB" w14:textId="77777777" w:rsidR="00D771F8" w:rsidRDefault="00D771F8" w:rsidP="00231671">
            <w:pPr>
              <w:ind w:left="537" w:hanging="142"/>
              <w:jc w:val="both"/>
              <w:rPr>
                <w:rFonts w:ascii="Arial" w:hAnsi="Arial" w:cs="Arial"/>
                <w:color w:val="000000"/>
                <w:lang w:val="mn-MN"/>
              </w:rPr>
            </w:pPr>
            <w:r w:rsidRPr="00013EBE">
              <w:rPr>
                <w:rFonts w:ascii="Arial" w:hAnsi="Arial" w:cs="Arial"/>
                <w:color w:val="000000"/>
                <w:lang w:val="mn-MN"/>
              </w:rPr>
              <w:t>-Дотоодын нийт бүтээгдэхүүнд эзлэх</w:t>
            </w:r>
          </w:p>
          <w:p w14:paraId="5BB9628E" w14:textId="77777777" w:rsidR="00D771F8" w:rsidRPr="00013EBE" w:rsidRDefault="00D771F8" w:rsidP="00231671">
            <w:pPr>
              <w:ind w:left="537" w:hanging="142"/>
              <w:jc w:val="both"/>
              <w:rPr>
                <w:rFonts w:ascii="Arial" w:eastAsia="Times New Roman" w:hAnsi="Arial" w:cs="Arial"/>
                <w:color w:val="000000"/>
                <w:lang w:val="mn-MN"/>
              </w:rPr>
            </w:pPr>
            <w:r w:rsidRPr="00013EBE">
              <w:rPr>
                <w:rFonts w:ascii="Arial" w:hAnsi="Arial" w:cs="Arial"/>
                <w:color w:val="000000"/>
                <w:lang w:val="mn-MN"/>
              </w:rPr>
              <w:t>хувь</w:t>
            </w:r>
          </w:p>
        </w:tc>
        <w:tc>
          <w:tcPr>
            <w:tcW w:w="759" w:type="pct"/>
            <w:shd w:val="clear" w:color="auto" w:fill="auto"/>
            <w:noWrap/>
            <w:vAlign w:val="center"/>
            <w:hideMark/>
          </w:tcPr>
          <w:p w14:paraId="7206CC82"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55.0</w:t>
            </w:r>
          </w:p>
        </w:tc>
        <w:tc>
          <w:tcPr>
            <w:tcW w:w="757" w:type="pct"/>
            <w:shd w:val="clear" w:color="auto" w:fill="auto"/>
            <w:noWrap/>
            <w:vAlign w:val="center"/>
            <w:hideMark/>
          </w:tcPr>
          <w:p w14:paraId="09E078C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50.0</w:t>
            </w:r>
          </w:p>
        </w:tc>
        <w:tc>
          <w:tcPr>
            <w:tcW w:w="682" w:type="pct"/>
            <w:shd w:val="clear" w:color="auto" w:fill="auto"/>
            <w:noWrap/>
            <w:vAlign w:val="center"/>
            <w:hideMark/>
          </w:tcPr>
          <w:p w14:paraId="03867DAE"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45.0</w:t>
            </w:r>
          </w:p>
        </w:tc>
      </w:tr>
      <w:tr w:rsidR="00D771F8" w:rsidRPr="00013EBE" w14:paraId="33477108" w14:textId="77777777" w:rsidTr="00231671">
        <w:trPr>
          <w:trHeight w:val="855"/>
        </w:trPr>
        <w:tc>
          <w:tcPr>
            <w:tcW w:w="187" w:type="pct"/>
            <w:vMerge w:val="restart"/>
            <w:shd w:val="clear" w:color="auto" w:fill="auto"/>
            <w:noWrap/>
            <w:vAlign w:val="center"/>
            <w:hideMark/>
          </w:tcPr>
          <w:p w14:paraId="0D28D19A" w14:textId="77777777" w:rsidR="00D771F8" w:rsidRPr="00013EBE" w:rsidRDefault="00D771F8" w:rsidP="00231671">
            <w:pPr>
              <w:jc w:val="center"/>
              <w:rPr>
                <w:rFonts w:ascii="Arial" w:eastAsia="Times New Roman" w:hAnsi="Arial" w:cs="Arial"/>
                <w:color w:val="000000"/>
                <w:lang w:val="mn-MN"/>
              </w:rPr>
            </w:pPr>
            <w:r w:rsidRPr="00013EBE">
              <w:rPr>
                <w:rFonts w:ascii="Arial" w:hAnsi="Arial" w:cs="Arial"/>
                <w:color w:val="000000"/>
                <w:lang w:val="mn-MN"/>
              </w:rPr>
              <w:lastRenderedPageBreak/>
              <w:t>9</w:t>
            </w:r>
          </w:p>
        </w:tc>
        <w:tc>
          <w:tcPr>
            <w:tcW w:w="2615" w:type="pct"/>
            <w:shd w:val="clear" w:color="auto" w:fill="auto"/>
            <w:vAlign w:val="bottom"/>
            <w:hideMark/>
          </w:tcPr>
          <w:p w14:paraId="71FDBBFC" w14:textId="77777777" w:rsidR="00D771F8" w:rsidRPr="00013EBE" w:rsidRDefault="00D771F8" w:rsidP="00231671">
            <w:pPr>
              <w:jc w:val="both"/>
              <w:rPr>
                <w:rFonts w:ascii="Arial" w:eastAsia="Times New Roman" w:hAnsi="Arial" w:cs="Arial"/>
                <w:color w:val="000000"/>
                <w:lang w:val="mn-MN"/>
              </w:rPr>
            </w:pPr>
            <w:r w:rsidRPr="00013EBE">
              <w:rPr>
                <w:rFonts w:ascii="Arial" w:hAnsi="Arial" w:cs="Arial"/>
                <w:color w:val="000000"/>
                <w:lang w:val="mn-MN"/>
              </w:rPr>
              <w:t xml:space="preserve">Нийгмийн халамжийн тухай хуульд заасны дагуу төсвөөс хуваарилах зардлын дээд хэмжээ /тэрбум төгрөг/ </w:t>
            </w:r>
          </w:p>
        </w:tc>
        <w:tc>
          <w:tcPr>
            <w:tcW w:w="759" w:type="pct"/>
            <w:shd w:val="clear" w:color="auto" w:fill="auto"/>
            <w:noWrap/>
            <w:vAlign w:val="center"/>
            <w:hideMark/>
          </w:tcPr>
          <w:p w14:paraId="2E21B7D9"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2,572.3</w:t>
            </w:r>
          </w:p>
        </w:tc>
        <w:tc>
          <w:tcPr>
            <w:tcW w:w="757" w:type="pct"/>
            <w:shd w:val="clear" w:color="auto" w:fill="auto"/>
            <w:noWrap/>
            <w:vAlign w:val="center"/>
            <w:hideMark/>
          </w:tcPr>
          <w:p w14:paraId="5E96B8B3"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2,850.4</w:t>
            </w:r>
          </w:p>
        </w:tc>
        <w:tc>
          <w:tcPr>
            <w:tcW w:w="682" w:type="pct"/>
            <w:shd w:val="clear" w:color="auto" w:fill="auto"/>
            <w:noWrap/>
            <w:vAlign w:val="center"/>
            <w:hideMark/>
          </w:tcPr>
          <w:p w14:paraId="5738A60F"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2,931.8</w:t>
            </w:r>
          </w:p>
        </w:tc>
      </w:tr>
      <w:tr w:rsidR="00D771F8" w:rsidRPr="00013EBE" w14:paraId="34A14C7B" w14:textId="77777777" w:rsidTr="00231671">
        <w:trPr>
          <w:trHeight w:val="285"/>
        </w:trPr>
        <w:tc>
          <w:tcPr>
            <w:tcW w:w="187" w:type="pct"/>
            <w:vMerge/>
            <w:vAlign w:val="center"/>
            <w:hideMark/>
          </w:tcPr>
          <w:p w14:paraId="56C802BE" w14:textId="77777777" w:rsidR="00D771F8" w:rsidRPr="00013EBE" w:rsidRDefault="00D771F8" w:rsidP="00231671">
            <w:pPr>
              <w:rPr>
                <w:rFonts w:ascii="Arial" w:eastAsia="Times New Roman" w:hAnsi="Arial" w:cs="Arial"/>
                <w:color w:val="000000"/>
                <w:lang w:val="mn-MN"/>
              </w:rPr>
            </w:pPr>
          </w:p>
        </w:tc>
        <w:tc>
          <w:tcPr>
            <w:tcW w:w="2615" w:type="pct"/>
            <w:shd w:val="clear" w:color="auto" w:fill="auto"/>
            <w:vAlign w:val="bottom"/>
            <w:hideMark/>
          </w:tcPr>
          <w:p w14:paraId="521E0DC3" w14:textId="77777777" w:rsidR="00D771F8" w:rsidRDefault="00D771F8" w:rsidP="00231671">
            <w:pPr>
              <w:ind w:left="537" w:right="102" w:hanging="142"/>
              <w:jc w:val="both"/>
              <w:rPr>
                <w:rFonts w:ascii="Arial" w:hAnsi="Arial" w:cs="Arial"/>
                <w:color w:val="000000"/>
                <w:lang w:val="mn-MN"/>
              </w:rPr>
            </w:pPr>
            <w:r w:rsidRPr="00013EBE">
              <w:rPr>
                <w:rFonts w:ascii="Arial" w:hAnsi="Arial" w:cs="Arial"/>
                <w:color w:val="000000"/>
                <w:lang w:val="mn-MN"/>
              </w:rPr>
              <w:t>-Дотоодын нийт бүтээгдэхүүнд эзлэх</w:t>
            </w:r>
          </w:p>
          <w:p w14:paraId="6602CA67" w14:textId="77777777" w:rsidR="00D771F8" w:rsidRPr="00013EBE" w:rsidRDefault="00D771F8" w:rsidP="00231671">
            <w:pPr>
              <w:ind w:left="537" w:right="102" w:hanging="142"/>
              <w:jc w:val="both"/>
              <w:rPr>
                <w:rFonts w:ascii="Arial" w:eastAsia="Times New Roman" w:hAnsi="Arial" w:cs="Arial"/>
                <w:color w:val="000000"/>
                <w:lang w:val="mn-MN"/>
              </w:rPr>
            </w:pPr>
            <w:r w:rsidRPr="00013EBE">
              <w:rPr>
                <w:rFonts w:ascii="Arial" w:hAnsi="Arial" w:cs="Arial"/>
                <w:color w:val="000000"/>
                <w:lang w:val="mn-MN"/>
              </w:rPr>
              <w:t>хувь</w:t>
            </w:r>
          </w:p>
        </w:tc>
        <w:tc>
          <w:tcPr>
            <w:tcW w:w="759" w:type="pct"/>
            <w:shd w:val="clear" w:color="auto" w:fill="auto"/>
            <w:noWrap/>
            <w:vAlign w:val="center"/>
            <w:hideMark/>
          </w:tcPr>
          <w:p w14:paraId="141BC616"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2.7</w:t>
            </w:r>
          </w:p>
        </w:tc>
        <w:tc>
          <w:tcPr>
            <w:tcW w:w="757" w:type="pct"/>
            <w:shd w:val="clear" w:color="auto" w:fill="auto"/>
            <w:noWrap/>
            <w:vAlign w:val="center"/>
            <w:hideMark/>
          </w:tcPr>
          <w:p w14:paraId="088AE65A"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2.7</w:t>
            </w:r>
          </w:p>
        </w:tc>
        <w:tc>
          <w:tcPr>
            <w:tcW w:w="682" w:type="pct"/>
            <w:shd w:val="clear" w:color="auto" w:fill="auto"/>
            <w:noWrap/>
            <w:vAlign w:val="center"/>
            <w:hideMark/>
          </w:tcPr>
          <w:p w14:paraId="53B3D28D" w14:textId="77777777" w:rsidR="00D771F8" w:rsidRPr="00013EBE" w:rsidRDefault="00D771F8" w:rsidP="00231671">
            <w:pPr>
              <w:jc w:val="right"/>
              <w:rPr>
                <w:rFonts w:ascii="Arial" w:hAnsi="Arial" w:cs="Arial"/>
                <w:color w:val="000000" w:themeColor="text1"/>
                <w:lang w:val="mn-MN"/>
              </w:rPr>
            </w:pPr>
            <w:r w:rsidRPr="00013EBE">
              <w:rPr>
                <w:rFonts w:ascii="Arial" w:hAnsi="Arial" w:cs="Arial"/>
                <w:color w:val="000000" w:themeColor="text1"/>
                <w:lang w:val="mn-MN"/>
              </w:rPr>
              <w:t>2.5</w:t>
            </w:r>
          </w:p>
        </w:tc>
      </w:tr>
    </w:tbl>
    <w:p w14:paraId="7EB76DDC" w14:textId="225210DF" w:rsidR="00EA302B" w:rsidRPr="00435CDA" w:rsidRDefault="00435CDA" w:rsidP="00C96DBA">
      <w:pPr>
        <w:textAlignment w:val="baseline"/>
        <w:rPr>
          <w:rStyle w:val="Hyperlink"/>
          <w:rFonts w:ascii="Arial" w:eastAsia="Times New Roman" w:hAnsi="Arial" w:cs="Arial"/>
          <w:i/>
          <w:sz w:val="20"/>
          <w:szCs w:val="20"/>
          <w:lang w:val="mn-MN"/>
        </w:rPr>
      </w:pPr>
      <w:r>
        <w:rPr>
          <w:rFonts w:ascii="Arial" w:eastAsia="Times New Roman" w:hAnsi="Arial" w:cs="Arial"/>
          <w:i/>
          <w:sz w:val="20"/>
          <w:szCs w:val="20"/>
          <w:lang w:val="mn-MN"/>
        </w:rPr>
        <w:fldChar w:fldCharType="begin"/>
      </w:r>
      <w:r>
        <w:rPr>
          <w:rFonts w:ascii="Arial" w:eastAsia="Times New Roman" w:hAnsi="Arial" w:cs="Arial"/>
          <w:i/>
          <w:sz w:val="20"/>
          <w:szCs w:val="20"/>
          <w:lang w:val="mn-MN"/>
        </w:rPr>
        <w:instrText xml:space="preserve"> HYPERLINK "../../Nemelt/2024/24-ne-375.docx" </w:instrText>
      </w:r>
      <w:r>
        <w:rPr>
          <w:rFonts w:ascii="Arial" w:eastAsia="Times New Roman" w:hAnsi="Arial" w:cs="Arial"/>
          <w:i/>
          <w:sz w:val="20"/>
          <w:szCs w:val="20"/>
          <w:lang w:val="mn-MN"/>
        </w:rPr>
        <w:fldChar w:fldCharType="separate"/>
      </w:r>
    </w:p>
    <w:p w14:paraId="0E8AA71C" w14:textId="7EBF9924" w:rsidR="00D771F8" w:rsidRPr="00D771F8" w:rsidRDefault="00435CDA" w:rsidP="00C96DBA">
      <w:pPr>
        <w:textAlignment w:val="baseline"/>
        <w:rPr>
          <w:rFonts w:ascii="Arial" w:eastAsia="Times New Roman" w:hAnsi="Arial" w:cs="Arial"/>
          <w:i/>
          <w:sz w:val="20"/>
          <w:szCs w:val="20"/>
          <w:lang w:val="mn-MN"/>
        </w:rPr>
      </w:pPr>
      <w:r w:rsidRPr="00435CDA">
        <w:rPr>
          <w:rStyle w:val="Hyperlink"/>
          <w:rFonts w:ascii="Arial" w:eastAsia="Times New Roman" w:hAnsi="Arial" w:cs="Arial"/>
          <w:i/>
          <w:sz w:val="20"/>
          <w:szCs w:val="20"/>
          <w:lang w:val="mn-MN"/>
        </w:rPr>
        <w:t>/Энэ зүйлийг 2024 оны 11 дүгээр сарын 08-ны өдрийн хуулиар өөрчлөн найруулсан./</w:t>
      </w:r>
      <w:r>
        <w:rPr>
          <w:rFonts w:ascii="Arial" w:eastAsia="Times New Roman" w:hAnsi="Arial" w:cs="Arial"/>
          <w:i/>
          <w:sz w:val="20"/>
          <w:szCs w:val="20"/>
          <w:lang w:val="mn-MN"/>
        </w:rPr>
        <w:fldChar w:fldCharType="end"/>
      </w:r>
    </w:p>
    <w:p w14:paraId="78399178" w14:textId="3152B2CB" w:rsidR="00D771F8" w:rsidRPr="00435CDA" w:rsidRDefault="00D771F8" w:rsidP="00C96DBA">
      <w:pPr>
        <w:textAlignment w:val="baseline"/>
        <w:rPr>
          <w:rFonts w:ascii="Arial" w:eastAsia="Times New Roman" w:hAnsi="Arial" w:cs="Arial"/>
          <w:i/>
          <w:sz w:val="20"/>
          <w:szCs w:val="20"/>
          <w:lang w:val="mn-MN"/>
        </w:rPr>
      </w:pPr>
      <w:hyperlink r:id="rId8" w:history="1">
        <w:r w:rsidRPr="00D771F8">
          <w:rPr>
            <w:rStyle w:val="Hyperlink"/>
            <w:rFonts w:ascii="Arial" w:eastAsia="Times New Roman" w:hAnsi="Arial" w:cs="Arial"/>
            <w:i/>
            <w:sz w:val="20"/>
            <w:szCs w:val="20"/>
            <w:lang w:val="mn-MN"/>
          </w:rPr>
          <w:t>/Энэ зүйлийг 2024 оны 12 дугаар сарын 12-ны өдрийн хуулиар өөрчлөн найруулсан./</w:t>
        </w:r>
      </w:hyperlink>
    </w:p>
    <w:p w14:paraId="5DFE9C23" w14:textId="0FB5E24B" w:rsidR="00EA302B" w:rsidRDefault="00EA302B" w:rsidP="00EA302B">
      <w:pPr>
        <w:jc w:val="center"/>
        <w:textAlignment w:val="baseline"/>
        <w:rPr>
          <w:rFonts w:ascii="Arial" w:eastAsia="Times New Roman" w:hAnsi="Arial" w:cs="Arial"/>
          <w:sz w:val="22"/>
          <w:szCs w:val="22"/>
          <w:lang w:val="mn-MN"/>
        </w:rPr>
      </w:pPr>
    </w:p>
    <w:p w14:paraId="4FB70CD2" w14:textId="3C73A942" w:rsidR="002D1995" w:rsidRDefault="002D1995" w:rsidP="00EA302B">
      <w:pPr>
        <w:jc w:val="center"/>
        <w:textAlignment w:val="baseline"/>
        <w:rPr>
          <w:rFonts w:ascii="Arial" w:eastAsia="Times New Roman" w:hAnsi="Arial" w:cs="Arial"/>
          <w:sz w:val="22"/>
          <w:szCs w:val="22"/>
          <w:lang w:val="mn-MN"/>
        </w:rPr>
      </w:pPr>
    </w:p>
    <w:p w14:paraId="3C312211" w14:textId="77777777" w:rsidR="002D1995" w:rsidRDefault="002D1995" w:rsidP="00EA302B">
      <w:pPr>
        <w:jc w:val="center"/>
        <w:textAlignment w:val="baseline"/>
        <w:rPr>
          <w:rFonts w:ascii="Arial" w:eastAsia="Times New Roman" w:hAnsi="Arial" w:cs="Arial"/>
          <w:sz w:val="22"/>
          <w:szCs w:val="22"/>
          <w:lang w:val="mn-MN"/>
        </w:rPr>
      </w:pPr>
    </w:p>
    <w:p w14:paraId="0BB8D770" w14:textId="77777777" w:rsidR="00EA302B" w:rsidRDefault="00EA302B" w:rsidP="00EA302B">
      <w:pPr>
        <w:jc w:val="both"/>
        <w:textAlignment w:val="baseline"/>
        <w:rPr>
          <w:rFonts w:ascii="Arial" w:eastAsia="Times New Roman" w:hAnsi="Arial" w:cs="Arial"/>
          <w:sz w:val="22"/>
          <w:szCs w:val="22"/>
          <w:lang w:val="mn-MN"/>
        </w:rPr>
      </w:pPr>
      <w:r>
        <w:rPr>
          <w:rFonts w:ascii="Arial" w:eastAsia="Times New Roman" w:hAnsi="Arial" w:cs="Arial"/>
          <w:sz w:val="22"/>
          <w:szCs w:val="22"/>
          <w:lang w:val="mn-MN"/>
        </w:rPr>
        <w:tab/>
      </w:r>
      <w:r>
        <w:rPr>
          <w:rFonts w:ascii="Arial" w:eastAsia="Times New Roman" w:hAnsi="Arial" w:cs="Arial"/>
          <w:sz w:val="22"/>
          <w:szCs w:val="22"/>
          <w:lang w:val="mn-MN"/>
        </w:rPr>
        <w:tab/>
        <w:t xml:space="preserve">МОНГОЛ УЛСЫН </w:t>
      </w:r>
    </w:p>
    <w:p w14:paraId="4115BC73" w14:textId="4CAEBD1C" w:rsidR="00D9760B" w:rsidRPr="009D21CB" w:rsidRDefault="00EA302B" w:rsidP="009D21CB">
      <w:pPr>
        <w:jc w:val="both"/>
        <w:textAlignment w:val="baseline"/>
        <w:rPr>
          <w:rFonts w:ascii="Arial" w:eastAsia="Times New Roman" w:hAnsi="Arial" w:cs="Arial"/>
          <w:sz w:val="22"/>
          <w:szCs w:val="22"/>
          <w:lang w:val="mn-MN"/>
        </w:rPr>
      </w:pPr>
      <w:r>
        <w:rPr>
          <w:rFonts w:ascii="Arial" w:eastAsia="Times New Roman" w:hAnsi="Arial" w:cs="Arial"/>
          <w:sz w:val="22"/>
          <w:szCs w:val="22"/>
          <w:lang w:val="mn-MN"/>
        </w:rPr>
        <w:tab/>
      </w:r>
      <w:r>
        <w:rPr>
          <w:rFonts w:ascii="Arial" w:eastAsia="Times New Roman" w:hAnsi="Arial" w:cs="Arial"/>
          <w:sz w:val="22"/>
          <w:szCs w:val="22"/>
          <w:lang w:val="mn-MN"/>
        </w:rPr>
        <w:tab/>
        <w:t xml:space="preserve">ИХ ХУРЛЫН ДАРГА </w:t>
      </w:r>
      <w:r>
        <w:rPr>
          <w:rFonts w:ascii="Arial" w:eastAsia="Times New Roman" w:hAnsi="Arial" w:cs="Arial"/>
          <w:sz w:val="22"/>
          <w:szCs w:val="22"/>
          <w:lang w:val="mn-MN"/>
        </w:rPr>
        <w:tab/>
      </w:r>
      <w:r>
        <w:rPr>
          <w:rFonts w:ascii="Arial" w:eastAsia="Times New Roman" w:hAnsi="Arial" w:cs="Arial"/>
          <w:sz w:val="22"/>
          <w:szCs w:val="22"/>
          <w:lang w:val="mn-MN"/>
        </w:rPr>
        <w:tab/>
      </w:r>
      <w:r>
        <w:rPr>
          <w:rFonts w:ascii="Arial" w:eastAsia="Times New Roman" w:hAnsi="Arial" w:cs="Arial"/>
          <w:sz w:val="22"/>
          <w:szCs w:val="22"/>
          <w:lang w:val="mn-MN"/>
        </w:rPr>
        <w:tab/>
      </w:r>
      <w:r>
        <w:rPr>
          <w:rFonts w:ascii="Arial" w:eastAsia="Times New Roman" w:hAnsi="Arial" w:cs="Arial"/>
          <w:sz w:val="22"/>
          <w:szCs w:val="22"/>
          <w:lang w:val="mn-MN"/>
        </w:rPr>
        <w:tab/>
      </w:r>
      <w:r>
        <w:rPr>
          <w:rFonts w:ascii="Arial" w:eastAsia="Times New Roman" w:hAnsi="Arial" w:cs="Arial"/>
          <w:sz w:val="22"/>
          <w:szCs w:val="22"/>
          <w:lang w:val="mn-MN"/>
        </w:rPr>
        <w:tab/>
        <w:t xml:space="preserve">Г.ЗАНДАНШАТАР </w:t>
      </w:r>
      <w:bookmarkStart w:id="0" w:name="_GoBack"/>
      <w:bookmarkEnd w:id="0"/>
    </w:p>
    <w:sectPr w:rsidR="00D9760B" w:rsidRPr="009D21CB"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3F642" w14:textId="77777777" w:rsidR="00857763" w:rsidRDefault="00857763" w:rsidP="001760B2">
      <w:r>
        <w:separator/>
      </w:r>
    </w:p>
  </w:endnote>
  <w:endnote w:type="continuationSeparator" w:id="0">
    <w:p w14:paraId="6070D355" w14:textId="77777777" w:rsidR="00857763" w:rsidRDefault="00857763"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NewtonMTT">
    <w:altName w:val="Courier New"/>
    <w:panose1 w:val="00000000000000000000"/>
    <w:charset w:val="00"/>
    <w:family w:val="swiss"/>
    <w:notTrueType/>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Droid Sans Fallback">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eeSans">
    <w:altName w:val="Arial"/>
    <w:charset w:val="00"/>
    <w:family w:val="auto"/>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2B97" w14:textId="77777777" w:rsidR="00857763" w:rsidRDefault="00857763" w:rsidP="001760B2">
      <w:r>
        <w:separator/>
      </w:r>
    </w:p>
  </w:footnote>
  <w:footnote w:type="continuationSeparator" w:id="0">
    <w:p w14:paraId="23887870" w14:textId="77777777" w:rsidR="00857763" w:rsidRDefault="00857763" w:rsidP="001760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1995"/>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35CDA"/>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57763"/>
    <w:rsid w:val="00887A9E"/>
    <w:rsid w:val="008C4A7F"/>
    <w:rsid w:val="008F3A57"/>
    <w:rsid w:val="00917381"/>
    <w:rsid w:val="00962FCC"/>
    <w:rsid w:val="009657E3"/>
    <w:rsid w:val="009D21CB"/>
    <w:rsid w:val="009D72D2"/>
    <w:rsid w:val="009E2693"/>
    <w:rsid w:val="009E4A90"/>
    <w:rsid w:val="009F0B5F"/>
    <w:rsid w:val="009F0C9E"/>
    <w:rsid w:val="009F4D78"/>
    <w:rsid w:val="00A02066"/>
    <w:rsid w:val="00A32221"/>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96DBA"/>
    <w:rsid w:val="00CD5959"/>
    <w:rsid w:val="00D01211"/>
    <w:rsid w:val="00D1611E"/>
    <w:rsid w:val="00D67B18"/>
    <w:rsid w:val="00D771F8"/>
    <w:rsid w:val="00D826EA"/>
    <w:rsid w:val="00D85ED6"/>
    <w:rsid w:val="00D92700"/>
    <w:rsid w:val="00D9760B"/>
    <w:rsid w:val="00DC6D45"/>
    <w:rsid w:val="00DE4080"/>
    <w:rsid w:val="00E02906"/>
    <w:rsid w:val="00E0635D"/>
    <w:rsid w:val="00E263C0"/>
    <w:rsid w:val="00E700AE"/>
    <w:rsid w:val="00E73A30"/>
    <w:rsid w:val="00EA302B"/>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4/24-ne-386.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7</cp:revision>
  <cp:lastPrinted>2023-11-03T01:31:00Z</cp:lastPrinted>
  <dcterms:created xsi:type="dcterms:W3CDTF">2024-06-17T05:42:00Z</dcterms:created>
  <dcterms:modified xsi:type="dcterms:W3CDTF">2024-12-17T09:19:00Z</dcterms:modified>
</cp:coreProperties>
</file>