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A17B8DD"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78637A">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8637A">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270587D" w:rsidR="006B4A52" w:rsidRDefault="006B4A52" w:rsidP="006B4A52">
      <w:pPr>
        <w:pStyle w:val="Heading1"/>
        <w:jc w:val="left"/>
      </w:pPr>
    </w:p>
    <w:p w14:paraId="1AFF7413" w14:textId="77777777" w:rsidR="0078637A" w:rsidRPr="0078637A" w:rsidRDefault="0078637A" w:rsidP="0078637A">
      <w:pPr>
        <w:rPr>
          <w:lang w:val="mn-MN"/>
        </w:rPr>
      </w:pPr>
    </w:p>
    <w:p w14:paraId="66ADFC23" w14:textId="77777777" w:rsidR="0078637A" w:rsidRPr="0045580B" w:rsidRDefault="0078637A" w:rsidP="0078637A">
      <w:pPr>
        <w:snapToGrid w:val="0"/>
        <w:contextualSpacing/>
        <w:jc w:val="center"/>
        <w:rPr>
          <w:rFonts w:ascii="Arial" w:hAnsi="Arial" w:cs="Arial"/>
          <w:b/>
          <w:lang w:val="mn-MN"/>
        </w:rPr>
      </w:pPr>
      <w:r w:rsidRPr="0045580B">
        <w:rPr>
          <w:rFonts w:ascii="Arial" w:hAnsi="Arial" w:cs="Arial"/>
          <w:b/>
          <w:lang w:val="mn-MN"/>
        </w:rPr>
        <w:t xml:space="preserve">   ЗӨРЧЛИЙН ТУХАЙ ХУУЛЬД НЭМЭЛТ,</w:t>
      </w:r>
    </w:p>
    <w:p w14:paraId="3BAECA3E" w14:textId="77777777" w:rsidR="0078637A" w:rsidRPr="0045580B" w:rsidRDefault="0078637A" w:rsidP="0078637A">
      <w:pPr>
        <w:snapToGrid w:val="0"/>
        <w:contextualSpacing/>
        <w:jc w:val="center"/>
        <w:rPr>
          <w:rFonts w:ascii="Arial" w:hAnsi="Arial" w:cs="Arial"/>
          <w:b/>
          <w:lang w:val="mn-MN"/>
        </w:rPr>
      </w:pPr>
      <w:r w:rsidRPr="0045580B">
        <w:rPr>
          <w:rFonts w:ascii="Arial" w:hAnsi="Arial" w:cs="Arial"/>
          <w:b/>
          <w:lang w:val="mn-MN"/>
        </w:rPr>
        <w:t xml:space="preserve">   ӨӨРЧЛӨЛТ ОРУУЛАХ ТУХАЙ</w:t>
      </w:r>
    </w:p>
    <w:p w14:paraId="3B918C35" w14:textId="77777777" w:rsidR="0078637A" w:rsidRPr="0045580B" w:rsidRDefault="0078637A" w:rsidP="0078637A">
      <w:pPr>
        <w:jc w:val="both"/>
        <w:rPr>
          <w:rFonts w:ascii="Arial" w:hAnsi="Arial" w:cs="Arial"/>
          <w:lang w:val="mn-MN"/>
        </w:rPr>
      </w:pPr>
    </w:p>
    <w:p w14:paraId="59BCA55E" w14:textId="77777777" w:rsidR="0078637A" w:rsidRPr="0045580B" w:rsidRDefault="0078637A" w:rsidP="0078637A">
      <w:pPr>
        <w:jc w:val="both"/>
        <w:rPr>
          <w:rFonts w:ascii="Arial" w:hAnsi="Arial" w:cs="Arial"/>
          <w:bCs/>
          <w:lang w:val="mn-MN"/>
        </w:rPr>
      </w:pPr>
      <w:r w:rsidRPr="0045580B">
        <w:rPr>
          <w:rFonts w:ascii="Arial" w:hAnsi="Arial" w:cs="Arial"/>
          <w:lang w:val="mn-MN"/>
        </w:rPr>
        <w:tab/>
      </w:r>
      <w:r w:rsidRPr="0045580B">
        <w:rPr>
          <w:rFonts w:ascii="Arial" w:hAnsi="Arial" w:cs="Arial"/>
          <w:b/>
          <w:lang w:val="mn-MN"/>
        </w:rPr>
        <w:t>1 дүгээр зүйл.</w:t>
      </w:r>
      <w:r w:rsidRPr="0045580B">
        <w:rPr>
          <w:rFonts w:ascii="Arial" w:hAnsi="Arial" w:cs="Arial"/>
          <w:bCs/>
          <w:lang w:val="mn-MN"/>
        </w:rPr>
        <w:t xml:space="preserve">Зөрчлийн тухай хуулийн </w:t>
      </w:r>
      <w:r w:rsidRPr="0045580B">
        <w:rPr>
          <w:rFonts w:ascii="Arial" w:hAnsi="Arial" w:cs="Arial"/>
          <w:lang w:val="mn-MN"/>
        </w:rPr>
        <w:t>17.1 дүгээр зүйл</w:t>
      </w:r>
      <w:r w:rsidRPr="0045580B">
        <w:rPr>
          <w:rFonts w:ascii="Arial" w:hAnsi="Arial" w:cs="Arial"/>
          <w:bCs/>
          <w:lang w:val="mn-MN"/>
        </w:rPr>
        <w:t xml:space="preserve">д доор дурдсан агуулгатай </w:t>
      </w:r>
      <w:r w:rsidRPr="0045580B">
        <w:rPr>
          <w:rFonts w:ascii="Arial" w:hAnsi="Arial" w:cs="Arial"/>
          <w:lang w:val="mn-MN"/>
        </w:rPr>
        <w:t>37, 38, 39 дэх</w:t>
      </w:r>
      <w:r w:rsidRPr="0045580B">
        <w:rPr>
          <w:rFonts w:ascii="Arial" w:hAnsi="Arial" w:cs="Arial"/>
          <w:bCs/>
          <w:lang w:val="mn-MN"/>
        </w:rPr>
        <w:t xml:space="preserve"> хэсэг нэмсүгэй:</w:t>
      </w:r>
    </w:p>
    <w:p w14:paraId="3520F85E" w14:textId="77777777" w:rsidR="0078637A" w:rsidRPr="0045580B" w:rsidRDefault="0078637A" w:rsidP="0078637A">
      <w:pPr>
        <w:jc w:val="both"/>
        <w:rPr>
          <w:rFonts w:ascii="Arial" w:hAnsi="Arial" w:cs="Arial"/>
          <w:lang w:val="mn-MN"/>
        </w:rPr>
      </w:pPr>
    </w:p>
    <w:p w14:paraId="4CE4F33B" w14:textId="77777777" w:rsidR="0078637A" w:rsidRPr="0045580B" w:rsidRDefault="0078637A" w:rsidP="0078637A">
      <w:pPr>
        <w:ind w:firstLine="720"/>
        <w:jc w:val="both"/>
        <w:rPr>
          <w:rFonts w:ascii="Arial" w:hAnsi="Arial" w:cs="Arial"/>
          <w:shd w:val="clear" w:color="auto" w:fill="FFFFFF"/>
          <w:lang w:val="mn-MN"/>
        </w:rPr>
      </w:pPr>
      <w:r w:rsidRPr="0045580B">
        <w:rPr>
          <w:rFonts w:ascii="Arial" w:hAnsi="Arial" w:cs="Arial"/>
          <w:lang w:val="mn-MN"/>
        </w:rPr>
        <w:t xml:space="preserve">“37.Нам, эвслийн дарга, нэр дэвшигч оролцсон хуульд зөвшөөрснөөс бусад хэлбэрийн бие даасан нэвтрүүлэг, хөтөлбөр, дуу, ярилцлагыг сонгуулийн сурталчилгаа эхэлснээс хойш санал авах өдрийг дуустал хугацааны дотор нэвтрүүлсэн бол хүнийг хорин мянган нэгжтэй тэнцэх хэмжээний төгрөгөөр, хуулийн этгээдийг </w:t>
      </w:r>
      <w:r w:rsidRPr="0045580B">
        <w:rPr>
          <w:rFonts w:ascii="Arial" w:hAnsi="Arial" w:cs="Arial"/>
          <w:shd w:val="clear" w:color="auto" w:fill="FFFFFF"/>
          <w:lang w:val="mn-MN"/>
        </w:rPr>
        <w:t xml:space="preserve">хоёр зуун мянган нэгжтэй тэнцэх хэмжээний төгрөгөөр </w:t>
      </w:r>
      <w:r w:rsidRPr="0045580B">
        <w:rPr>
          <w:rFonts w:ascii="Arial" w:hAnsi="Arial" w:cs="Arial"/>
          <w:lang w:val="mn-MN"/>
        </w:rPr>
        <w:t>торгоно.</w:t>
      </w:r>
    </w:p>
    <w:p w14:paraId="06540A69" w14:textId="77777777" w:rsidR="0078637A" w:rsidRPr="0045580B" w:rsidRDefault="0078637A" w:rsidP="0078637A">
      <w:pPr>
        <w:ind w:firstLine="720"/>
        <w:jc w:val="both"/>
        <w:rPr>
          <w:rFonts w:ascii="Arial" w:hAnsi="Arial" w:cs="Arial"/>
          <w:shd w:val="clear" w:color="auto" w:fill="FFFFFF"/>
          <w:lang w:val="mn-MN"/>
        </w:rPr>
      </w:pPr>
    </w:p>
    <w:p w14:paraId="612007CE" w14:textId="77777777" w:rsidR="0078637A" w:rsidRPr="0045580B" w:rsidRDefault="0078637A" w:rsidP="0078637A">
      <w:pPr>
        <w:ind w:firstLine="720"/>
        <w:jc w:val="both"/>
        <w:rPr>
          <w:rFonts w:ascii="Arial" w:hAnsi="Arial" w:cs="Arial"/>
          <w:shd w:val="clear" w:color="auto" w:fill="FFFFFF"/>
          <w:lang w:val="mn-MN"/>
        </w:rPr>
      </w:pPr>
      <w:r w:rsidRPr="0045580B">
        <w:rPr>
          <w:rFonts w:ascii="Arial" w:hAnsi="Arial" w:cs="Arial"/>
          <w:shd w:val="clear" w:color="auto" w:fill="FFFFFF"/>
          <w:lang w:val="mn-MN"/>
        </w:rPr>
        <w:t>38.Хүүхдэд зориулсан нэвтрүүлэг дундуур сонгуулийн сурталчилгаа нэвтрүүлсэн бол хүнийг хорин мянган нэгжтэй тэнцэх хэмжээний төгрөгөөр, хуулийн этгээдийг хоёр зуун мянган нэгжтэй тэнцэх хэмжээний төгрөгөөр торгоно.</w:t>
      </w:r>
    </w:p>
    <w:p w14:paraId="24D84361" w14:textId="77777777" w:rsidR="0078637A" w:rsidRPr="0045580B" w:rsidRDefault="0078637A" w:rsidP="0078637A">
      <w:pPr>
        <w:ind w:firstLine="720"/>
        <w:jc w:val="both"/>
        <w:rPr>
          <w:rFonts w:ascii="Arial" w:hAnsi="Arial" w:cs="Arial"/>
          <w:shd w:val="clear" w:color="auto" w:fill="FFFFFF"/>
          <w:lang w:val="mn-MN"/>
        </w:rPr>
      </w:pPr>
    </w:p>
    <w:p w14:paraId="179D960A" w14:textId="77777777" w:rsidR="0078637A" w:rsidRPr="0045580B" w:rsidRDefault="0078637A" w:rsidP="0078637A">
      <w:pPr>
        <w:ind w:firstLine="720"/>
        <w:jc w:val="both"/>
        <w:rPr>
          <w:rFonts w:ascii="Arial" w:hAnsi="Arial" w:cs="Arial"/>
          <w:shd w:val="clear" w:color="auto" w:fill="FFFFFF"/>
          <w:lang w:val="mn-MN"/>
        </w:rPr>
      </w:pPr>
      <w:r w:rsidRPr="0045580B">
        <w:rPr>
          <w:rFonts w:ascii="Arial" w:hAnsi="Arial" w:cs="Arial"/>
          <w:shd w:val="clear" w:color="auto" w:fill="FFFFFF"/>
          <w:lang w:val="mn-MN"/>
        </w:rPr>
        <w:t>39.</w:t>
      </w:r>
      <w:r w:rsidRPr="0045580B">
        <w:rPr>
          <w:rFonts w:ascii="Arial" w:hAnsi="Arial" w:cs="Arial"/>
          <w:bCs/>
          <w:shd w:val="clear" w:color="auto" w:fill="FFFFFF"/>
          <w:lang w:val="mn-MN"/>
        </w:rPr>
        <w:t>Нэгээс илүү сувагтай радио, телевиз нь</w:t>
      </w:r>
      <w:r w:rsidRPr="0045580B">
        <w:rPr>
          <w:rFonts w:ascii="Arial" w:hAnsi="Arial" w:cs="Arial"/>
          <w:shd w:val="clear" w:color="auto" w:fill="FFFFFF"/>
          <w:lang w:val="mn-MN"/>
        </w:rPr>
        <w:t xml:space="preserve"> сонгуулийн сурталчилгааны нэвтрүүлгийг нэгээс илүү сувгаар нэвтрүүлсэн бол хүнийг хорин мянган нэгжтэй тэнцэх хэмжээний төгрөгөөр, хуулийн этгээдийг хоёр зуун мянган нэгжтэй тэнцэх хэмжээний төгрөгөөр торгоно.” </w:t>
      </w:r>
    </w:p>
    <w:p w14:paraId="1391C125" w14:textId="77777777" w:rsidR="0078637A" w:rsidRPr="0045580B" w:rsidRDefault="0078637A" w:rsidP="0078637A">
      <w:pPr>
        <w:jc w:val="both"/>
        <w:rPr>
          <w:rFonts w:ascii="Arial" w:hAnsi="Arial" w:cs="Arial"/>
          <w:lang w:val="mn-MN"/>
        </w:rPr>
      </w:pPr>
    </w:p>
    <w:p w14:paraId="59AB752B" w14:textId="77777777" w:rsidR="0078637A" w:rsidRPr="0045580B" w:rsidRDefault="0078637A" w:rsidP="0078637A">
      <w:pPr>
        <w:ind w:firstLine="720"/>
        <w:jc w:val="both"/>
        <w:rPr>
          <w:rFonts w:ascii="Arial" w:hAnsi="Arial" w:cs="Arial"/>
          <w:lang w:val="mn-MN"/>
        </w:rPr>
      </w:pPr>
      <w:r w:rsidRPr="0045580B">
        <w:rPr>
          <w:rFonts w:ascii="Arial" w:hAnsi="Arial" w:cs="Arial"/>
          <w:b/>
          <w:lang w:val="mn-MN"/>
        </w:rPr>
        <w:t>2 дугаар зүйл.</w:t>
      </w:r>
      <w:r w:rsidRPr="0045580B">
        <w:rPr>
          <w:rFonts w:ascii="Arial" w:hAnsi="Arial" w:cs="Arial"/>
          <w:lang w:val="mn-MN"/>
        </w:rPr>
        <w:t xml:space="preserve">Зөрчлийн тухай хуулийн 17.1 дүгээр зүйлийн 16.5 дахь заалтын “амлалт өгсөн” гэсний дараа “, эсхүл </w:t>
      </w:r>
      <w:r w:rsidRPr="0045580B">
        <w:rPr>
          <w:rStyle w:val="normaltextrun"/>
          <w:rFonts w:ascii="Arial" w:eastAsiaTheme="majorEastAsia" w:hAnsi="Arial" w:cs="Arial"/>
          <w:lang w:val="mn-MN"/>
        </w:rPr>
        <w:t>тухайн жилийн төсөвт тусгаагүй нийгмийн халамж, хамгааллын хөтөлбөр хэрэгжүүлэхээр зарласан</w:t>
      </w:r>
      <w:r w:rsidRPr="0045580B">
        <w:rPr>
          <w:rFonts w:ascii="Arial" w:hAnsi="Arial" w:cs="Arial"/>
          <w:shd w:val="clear" w:color="auto" w:fill="FFFFFF"/>
          <w:lang w:val="mn-MN"/>
        </w:rPr>
        <w:t>” гэж,</w:t>
      </w:r>
      <w:r w:rsidRPr="0045580B">
        <w:rPr>
          <w:rFonts w:ascii="Arial" w:hAnsi="Arial" w:cs="Arial"/>
          <w:lang w:val="mn-MN"/>
        </w:rPr>
        <w:t xml:space="preserve"> мөн зүйлийн 16.7 дахь заалтын “байгуулсан” гэсний дараа “, нийтэлсэн, нэвтрүүлсэн” гэж тус тус нэмсүгэй.</w:t>
      </w:r>
    </w:p>
    <w:p w14:paraId="21BACC76" w14:textId="77777777" w:rsidR="0078637A" w:rsidRPr="0045580B" w:rsidRDefault="0078637A" w:rsidP="0078637A">
      <w:pPr>
        <w:jc w:val="both"/>
        <w:rPr>
          <w:rFonts w:ascii="Arial" w:hAnsi="Arial" w:cs="Arial"/>
          <w:lang w:val="mn-MN"/>
        </w:rPr>
      </w:pPr>
    </w:p>
    <w:p w14:paraId="16429C8B" w14:textId="77777777" w:rsidR="0078637A" w:rsidRPr="0045580B" w:rsidRDefault="0078637A" w:rsidP="0078637A">
      <w:pPr>
        <w:jc w:val="both"/>
        <w:rPr>
          <w:rFonts w:ascii="Arial" w:hAnsi="Arial" w:cs="Arial"/>
          <w:lang w:val="mn-MN"/>
        </w:rPr>
      </w:pPr>
      <w:r w:rsidRPr="0045580B">
        <w:rPr>
          <w:rFonts w:ascii="Arial" w:hAnsi="Arial" w:cs="Arial"/>
          <w:lang w:val="mn-MN"/>
        </w:rPr>
        <w:tab/>
      </w:r>
      <w:r w:rsidRPr="0045580B">
        <w:rPr>
          <w:rFonts w:ascii="Arial" w:hAnsi="Arial" w:cs="Arial"/>
          <w:b/>
          <w:lang w:val="mn-MN"/>
        </w:rPr>
        <w:t>3 дугаар зүйл.</w:t>
      </w:r>
      <w:r w:rsidRPr="0045580B">
        <w:rPr>
          <w:rFonts w:ascii="Arial" w:hAnsi="Arial" w:cs="Arial"/>
          <w:lang w:val="mn-MN"/>
        </w:rPr>
        <w:t>Зөрчлийн тухай хуулийн 17.1 дүгээр зүйлийн 23 дахь хэсгийн “</w:t>
      </w:r>
      <w:r w:rsidRPr="0045580B">
        <w:rPr>
          <w:rFonts w:ascii="Arial" w:hAnsi="Arial" w:cs="Arial"/>
          <w:shd w:val="clear" w:color="auto" w:fill="FFFFFF"/>
          <w:lang w:val="mn-MN"/>
        </w:rPr>
        <w:t>Хандив өгөхийг хориглосон этгээдээс өгсөн хандивыг” гэснийг “Хандив өгөхийг хуулиар хориглосон этгээдээс хандив өгсөн бол, тус</w:t>
      </w:r>
      <w:r w:rsidRPr="0045580B">
        <w:rPr>
          <w:rFonts w:ascii="Arial" w:hAnsi="Arial" w:cs="Arial"/>
          <w:iCs/>
          <w:lang w:val="mn-MN"/>
        </w:rPr>
        <w:t xml:space="preserve"> хандивыг тухайн сонгуулийн дүн гарахаас өмнө буцаан шилжүүлээгүй бол</w:t>
      </w:r>
      <w:r w:rsidRPr="0045580B">
        <w:rPr>
          <w:rFonts w:ascii="Arial" w:hAnsi="Arial" w:cs="Arial"/>
          <w:shd w:val="clear" w:color="auto" w:fill="FFFFFF"/>
          <w:lang w:val="mn-MN"/>
        </w:rPr>
        <w:t xml:space="preserve">, эсхүл хуульд зааснаас илүү хэмжээний хандивыг </w:t>
      </w:r>
      <w:r w:rsidRPr="0045580B">
        <w:rPr>
          <w:rFonts w:ascii="Arial" w:hAnsi="Arial" w:cs="Arial"/>
          <w:iCs/>
          <w:lang w:val="mn-MN"/>
        </w:rPr>
        <w:t>тухайн сонгуулийн дүн гарахаас өмнө</w:t>
      </w:r>
      <w:r w:rsidRPr="0045580B">
        <w:rPr>
          <w:rFonts w:ascii="Arial" w:hAnsi="Arial" w:cs="Arial"/>
          <w:shd w:val="clear" w:color="auto" w:fill="FFFFFF"/>
          <w:lang w:val="mn-MN"/>
        </w:rPr>
        <w:t>” гэж</w:t>
      </w:r>
      <w:r w:rsidRPr="0045580B">
        <w:rPr>
          <w:rFonts w:ascii="Arial" w:hAnsi="Arial" w:cs="Arial"/>
          <w:lang w:val="mn-MN"/>
        </w:rPr>
        <w:t>, мөн зүйлийн 30.2 дахь заалтын “саналаа болон бусад сонгогчийн тэмдэглэсэн саналыг баримтжуулан” гэснийг “санал, саналын хуудасны” гэж тус тус өөрчилсүгэй.</w:t>
      </w:r>
    </w:p>
    <w:p w14:paraId="147C3386" w14:textId="77777777" w:rsidR="0078637A" w:rsidRPr="0045580B" w:rsidRDefault="0078637A" w:rsidP="0078637A">
      <w:pPr>
        <w:jc w:val="both"/>
        <w:rPr>
          <w:rFonts w:ascii="Arial" w:hAnsi="Arial" w:cs="Arial"/>
          <w:lang w:val="mn-MN"/>
        </w:rPr>
      </w:pPr>
    </w:p>
    <w:p w14:paraId="7BD169E7" w14:textId="77777777" w:rsidR="0078637A" w:rsidRPr="0045580B" w:rsidRDefault="0078637A" w:rsidP="0078637A">
      <w:pPr>
        <w:jc w:val="both"/>
        <w:rPr>
          <w:rFonts w:ascii="Arial" w:hAnsi="Arial" w:cs="Arial"/>
          <w:lang w:val="mn-MN"/>
        </w:rPr>
      </w:pPr>
      <w:r w:rsidRPr="0045580B">
        <w:rPr>
          <w:rFonts w:ascii="Arial" w:hAnsi="Arial" w:cs="Arial"/>
          <w:lang w:val="mn-MN"/>
        </w:rPr>
        <w:tab/>
      </w:r>
      <w:r w:rsidRPr="0045580B">
        <w:rPr>
          <w:rFonts w:ascii="Arial" w:hAnsi="Arial" w:cs="Arial"/>
          <w:b/>
          <w:lang w:val="mn-MN"/>
        </w:rPr>
        <w:t>4 дүгээр зүйл.</w:t>
      </w:r>
      <w:r w:rsidRPr="0045580B">
        <w:rPr>
          <w:rFonts w:ascii="Arial" w:hAnsi="Arial" w:cs="Arial"/>
          <w:lang w:val="mn-MN"/>
        </w:rPr>
        <w:t xml:space="preserve">Зөрчлийн тухай хуулийн 17.1 дүгээр зүйлийн 20 дахь хэсгийн “, эсхүл сонгуулийн сурталчилгаа эхлэхээс өмнө хийгдсэн аливаа нэвтрүүлэг, хөтөлбөр, дуу, дүрс бичлэг, ярилцлагыг нэвтрүүлсэн, нийтэлсэн” гэснийг, мөн хэсгийн “төгрөгөөр, хуулийн этгээдийг хоёр зуун мянган нэгжтэй тэнцэх хэмжээний” гэснийг тус тус хассугай. </w:t>
      </w:r>
    </w:p>
    <w:p w14:paraId="2BD8B509" w14:textId="77777777" w:rsidR="0078637A" w:rsidRPr="0045580B" w:rsidRDefault="0078637A" w:rsidP="0078637A">
      <w:pPr>
        <w:ind w:firstLine="720"/>
        <w:jc w:val="both"/>
        <w:rPr>
          <w:rFonts w:ascii="Arial" w:hAnsi="Arial" w:cs="Arial"/>
          <w:lang w:val="mn-MN"/>
        </w:rPr>
      </w:pPr>
      <w:r w:rsidRPr="0045580B">
        <w:rPr>
          <w:rFonts w:ascii="Arial" w:hAnsi="Arial" w:cs="Arial"/>
          <w:b/>
          <w:bCs/>
          <w:lang w:val="mn-MN"/>
        </w:rPr>
        <w:t>5 дугаар зүйл.</w:t>
      </w:r>
      <w:r w:rsidRPr="0045580B">
        <w:rPr>
          <w:rFonts w:ascii="Arial" w:hAnsi="Arial" w:cs="Arial"/>
          <w:lang w:val="mn-MN"/>
        </w:rPr>
        <w:t>Зөрчлийн тухай хуулийн 17.1 дүгээр зүйлийн 7, 10 дахь хэсгийг тус тус хүчингүй болсонд тооцсугай.</w:t>
      </w:r>
    </w:p>
    <w:p w14:paraId="33A5E653" w14:textId="77777777" w:rsidR="0078637A" w:rsidRPr="0045580B" w:rsidRDefault="0078637A" w:rsidP="0078637A">
      <w:pPr>
        <w:suppressAutoHyphens/>
        <w:snapToGrid w:val="0"/>
        <w:jc w:val="both"/>
        <w:rPr>
          <w:rFonts w:ascii="Arial" w:hAnsi="Arial" w:cs="Arial"/>
          <w:b/>
          <w:strike/>
          <w:lang w:val="mn-MN" w:eastAsia="zh-CN"/>
        </w:rPr>
      </w:pPr>
    </w:p>
    <w:p w14:paraId="7E81BFA3" w14:textId="77777777" w:rsidR="0078637A" w:rsidRPr="0045580B" w:rsidRDefault="0078637A" w:rsidP="0078637A">
      <w:pPr>
        <w:suppressAutoHyphens/>
        <w:snapToGrid w:val="0"/>
        <w:ind w:firstLine="720"/>
        <w:jc w:val="both"/>
        <w:rPr>
          <w:rFonts w:ascii="Arial" w:hAnsi="Arial" w:cs="Arial"/>
          <w:lang w:val="mn-MN"/>
        </w:rPr>
      </w:pPr>
      <w:r w:rsidRPr="0045580B">
        <w:rPr>
          <w:rFonts w:ascii="Arial" w:hAnsi="Arial" w:cs="Arial"/>
          <w:b/>
          <w:lang w:val="mn-MN" w:eastAsia="zh-CN"/>
        </w:rPr>
        <w:t>6 дугаар зүйл.</w:t>
      </w:r>
      <w:r w:rsidRPr="0045580B">
        <w:rPr>
          <w:rFonts w:ascii="Arial" w:hAnsi="Arial" w:cs="Arial"/>
          <w:lang w:val="mn-MN"/>
        </w:rPr>
        <w:t>Энэ хуулийг 2024 оны 06 дугаар сарын 10-ны өдрөөс эхлэн дагаж мөрдөнө.</w:t>
      </w:r>
    </w:p>
    <w:p w14:paraId="52A1C6FA" w14:textId="77777777" w:rsidR="0078637A" w:rsidRPr="0045580B" w:rsidRDefault="0078637A" w:rsidP="0078637A">
      <w:pPr>
        <w:suppressAutoHyphens/>
        <w:snapToGrid w:val="0"/>
        <w:ind w:firstLine="720"/>
        <w:jc w:val="both"/>
        <w:rPr>
          <w:rFonts w:ascii="Arial" w:hAnsi="Arial" w:cs="Arial"/>
          <w:lang w:val="mn-MN"/>
        </w:rPr>
      </w:pPr>
    </w:p>
    <w:p w14:paraId="235B3AEA" w14:textId="77777777" w:rsidR="0078637A" w:rsidRPr="0045580B" w:rsidRDefault="0078637A" w:rsidP="0078637A">
      <w:pPr>
        <w:suppressAutoHyphens/>
        <w:snapToGrid w:val="0"/>
        <w:ind w:firstLine="720"/>
        <w:jc w:val="both"/>
        <w:rPr>
          <w:rFonts w:ascii="Arial" w:hAnsi="Arial" w:cs="Arial"/>
          <w:lang w:val="mn-MN"/>
        </w:rPr>
      </w:pPr>
    </w:p>
    <w:p w14:paraId="7DEFF187" w14:textId="77777777" w:rsidR="0078637A" w:rsidRPr="0045580B" w:rsidRDefault="0078637A" w:rsidP="0078637A">
      <w:pPr>
        <w:suppressAutoHyphens/>
        <w:snapToGrid w:val="0"/>
        <w:ind w:firstLine="720"/>
        <w:jc w:val="both"/>
        <w:rPr>
          <w:rFonts w:ascii="Arial" w:hAnsi="Arial" w:cs="Arial"/>
          <w:lang w:val="mn-MN"/>
        </w:rPr>
      </w:pPr>
    </w:p>
    <w:p w14:paraId="7911D607" w14:textId="77777777" w:rsidR="0078637A" w:rsidRPr="0045580B" w:rsidRDefault="0078637A" w:rsidP="0078637A">
      <w:pPr>
        <w:suppressAutoHyphens/>
        <w:snapToGrid w:val="0"/>
        <w:ind w:firstLine="720"/>
        <w:jc w:val="both"/>
        <w:rPr>
          <w:rFonts w:ascii="Arial" w:hAnsi="Arial" w:cs="Arial"/>
          <w:lang w:val="mn-MN"/>
        </w:rPr>
      </w:pPr>
    </w:p>
    <w:p w14:paraId="3C4CD2D7" w14:textId="77777777" w:rsidR="0078637A" w:rsidRPr="0045580B" w:rsidRDefault="0078637A" w:rsidP="0078637A">
      <w:pPr>
        <w:suppressAutoHyphens/>
        <w:snapToGrid w:val="0"/>
        <w:ind w:firstLine="720"/>
        <w:jc w:val="both"/>
        <w:rPr>
          <w:rFonts w:ascii="Arial" w:hAnsi="Arial" w:cs="Arial"/>
          <w:lang w:val="mn-MN"/>
        </w:rPr>
      </w:pPr>
      <w:r w:rsidRPr="0045580B">
        <w:rPr>
          <w:rFonts w:ascii="Arial" w:hAnsi="Arial" w:cs="Arial"/>
          <w:lang w:val="mn-MN"/>
        </w:rPr>
        <w:tab/>
        <w:t xml:space="preserve">МОНГОЛ УЛСЫН </w:t>
      </w:r>
    </w:p>
    <w:p w14:paraId="6A41452A" w14:textId="77777777" w:rsidR="0078637A" w:rsidRPr="0045580B" w:rsidRDefault="0078637A" w:rsidP="0078637A">
      <w:pPr>
        <w:suppressAutoHyphens/>
        <w:snapToGrid w:val="0"/>
        <w:ind w:firstLine="720"/>
        <w:jc w:val="both"/>
        <w:rPr>
          <w:rFonts w:ascii="Arial" w:hAnsi="Arial" w:cs="Arial"/>
          <w:lang w:val="mn-MN"/>
        </w:rPr>
      </w:pPr>
      <w:r w:rsidRPr="0045580B">
        <w:rPr>
          <w:rFonts w:ascii="Arial" w:hAnsi="Arial" w:cs="Arial"/>
          <w:lang w:val="mn-MN"/>
        </w:rPr>
        <w:tab/>
        <w:t xml:space="preserve">ИХ ХУРЛЫН ДАРГА </w:t>
      </w:r>
      <w:r w:rsidRPr="0045580B">
        <w:rPr>
          <w:rFonts w:ascii="Arial" w:hAnsi="Arial" w:cs="Arial"/>
          <w:lang w:val="mn-MN"/>
        </w:rPr>
        <w:tab/>
      </w:r>
      <w:r w:rsidRPr="0045580B">
        <w:rPr>
          <w:rFonts w:ascii="Arial" w:hAnsi="Arial" w:cs="Arial"/>
          <w:lang w:val="mn-MN"/>
        </w:rPr>
        <w:tab/>
      </w:r>
      <w:r w:rsidRPr="0045580B">
        <w:rPr>
          <w:rFonts w:ascii="Arial" w:hAnsi="Arial" w:cs="Arial"/>
          <w:lang w:val="mn-MN"/>
        </w:rPr>
        <w:tab/>
      </w:r>
      <w:r w:rsidRPr="0045580B">
        <w:rPr>
          <w:rFonts w:ascii="Arial" w:hAnsi="Arial" w:cs="Arial"/>
          <w:lang w:val="mn-MN"/>
        </w:rPr>
        <w:tab/>
        <w:t xml:space="preserve">Г.ЗАНДАНШАТАР </w:t>
      </w: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8637A"/>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2024-06-18T08:54:00Z</dcterms:created>
  <dcterms:modified xsi:type="dcterms:W3CDTF">2024-06-18T08:54:00Z</dcterms:modified>
</cp:coreProperties>
</file>