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6029AB57" w14:textId="67B42F9B" w:rsidR="001804D7" w:rsidRPr="001804D7" w:rsidRDefault="0011390C" w:rsidP="001804D7">
      <w:pPr>
        <w:rPr>
          <w:lang w:val="en-US"/>
        </w:rPr>
      </w:pPr>
      <w:r>
        <w:rPr>
          <w:noProof/>
        </w:rPr>
        <w:pict w14:anchorId="3EF09D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s1029" type="#_x0000_t75" style="position:absolute;margin-left:-7.65pt;margin-top:-.1pt;width:83.3pt;height:68.9pt;z-index:251657216;visibility:visible;mso-position-horizontal-relative:text;mso-position-vertical-relative:text">
            <v:imagedata r:id="rId7" o:title=""/>
          </v:shape>
        </w:pic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</w:t>
      </w:r>
      <w:bookmarkStart w:id="0" w:name="_GoBack"/>
      <w:r>
        <w:rPr>
          <w:rFonts w:eastAsia="MS Mincho" w:cs="Arial"/>
          <w:b/>
          <w:noProof/>
          <w:color w:val="31849B"/>
          <w:sz w:val="22"/>
          <w:szCs w:val="22"/>
          <w:lang w:val="en-US" w:eastAsia="en-US"/>
        </w:rPr>
        <w:drawing>
          <wp:inline distT="0" distB="0" distL="0" distR="0" wp14:anchorId="10A5CBCD" wp14:editId="507CBEA1">
            <wp:extent cx="947228" cy="901966"/>
            <wp:effectExtent l="0" t="0" r="0" b="0"/>
            <wp:docPr id="1" name="Picture 1" descr="lo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o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50" cy="92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A01B558" w14:textId="60432351" w:rsidR="00785EF4" w:rsidRDefault="006F5FFF" w:rsidP="006F5FFF">
      <w:pPr>
        <w:spacing w:after="0" w:line="240" w:lineRule="auto"/>
        <w:jc w:val="right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/</w:t>
      </w:r>
      <w:proofErr w:type="spellStart"/>
      <w:r>
        <w:rPr>
          <w:rFonts w:cs="Arial"/>
          <w:sz w:val="24"/>
          <w:szCs w:val="24"/>
          <w:lang w:val="en-US"/>
        </w:rPr>
        <w:t>Албан</w:t>
      </w:r>
      <w:proofErr w:type="spellEnd"/>
      <w:r>
        <w:rPr>
          <w:rFonts w:cs="Arial"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sz w:val="24"/>
          <w:szCs w:val="24"/>
          <w:lang w:val="en-US"/>
        </w:rPr>
        <w:t>бус</w:t>
      </w:r>
      <w:proofErr w:type="spellEnd"/>
      <w:r>
        <w:rPr>
          <w:rFonts w:cs="Arial"/>
          <w:sz w:val="24"/>
          <w:szCs w:val="24"/>
          <w:lang w:val="en-US"/>
        </w:rPr>
        <w:t xml:space="preserve"> </w:t>
      </w:r>
      <w:proofErr w:type="spellStart"/>
      <w:r>
        <w:rPr>
          <w:rFonts w:cs="Arial"/>
          <w:sz w:val="24"/>
          <w:szCs w:val="24"/>
          <w:lang w:val="en-US"/>
        </w:rPr>
        <w:t>орчуулга</w:t>
      </w:r>
      <w:proofErr w:type="spellEnd"/>
      <w:r>
        <w:rPr>
          <w:rFonts w:cs="Arial"/>
          <w:sz w:val="24"/>
          <w:szCs w:val="24"/>
          <w:lang w:val="en-US"/>
        </w:rPr>
        <w:t>/</w:t>
      </w:r>
    </w:p>
    <w:p w14:paraId="2E96F1FF" w14:textId="77777777" w:rsidR="00785EF4" w:rsidRDefault="00785EF4" w:rsidP="00514238">
      <w:pPr>
        <w:spacing w:after="0" w:line="240" w:lineRule="auto"/>
        <w:jc w:val="center"/>
        <w:rPr>
          <w:rFonts w:cs="Arial"/>
          <w:sz w:val="24"/>
          <w:szCs w:val="24"/>
          <w:lang w:val="en-US"/>
        </w:rPr>
      </w:pPr>
    </w:p>
    <w:p w14:paraId="2503202B" w14:textId="77777777" w:rsidR="00AE7D0B" w:rsidRPr="00AE7D0B" w:rsidRDefault="00AE7D0B" w:rsidP="00AE7D0B">
      <w:pPr>
        <w:tabs>
          <w:tab w:val="left" w:pos="-142"/>
          <w:tab w:val="left" w:pos="0"/>
        </w:tabs>
        <w:spacing w:after="0" w:line="240" w:lineRule="auto"/>
        <w:jc w:val="center"/>
        <w:rPr>
          <w:rFonts w:cs="Arial"/>
          <w:b/>
          <w:color w:val="31849B"/>
          <w:sz w:val="24"/>
          <w:szCs w:val="24"/>
        </w:rPr>
      </w:pPr>
      <w:proofErr w:type="spellStart"/>
      <w:r w:rsidRPr="00AE7D0B">
        <w:rPr>
          <w:rFonts w:cs="Arial"/>
          <w:b/>
          <w:color w:val="31849B"/>
          <w:sz w:val="24"/>
          <w:szCs w:val="24"/>
        </w:rPr>
        <w:t>Тогтвортой</w:t>
      </w:r>
      <w:proofErr w:type="spellEnd"/>
      <w:r w:rsidRPr="00AE7D0B">
        <w:rPr>
          <w:rFonts w:cs="Arial"/>
          <w:b/>
          <w:color w:val="31849B"/>
          <w:sz w:val="24"/>
          <w:szCs w:val="24"/>
        </w:rPr>
        <w:t xml:space="preserve"> </w:t>
      </w:r>
      <w:proofErr w:type="spellStart"/>
      <w:r w:rsidRPr="00AE7D0B">
        <w:rPr>
          <w:rFonts w:cs="Arial"/>
          <w:b/>
          <w:color w:val="31849B"/>
          <w:sz w:val="24"/>
          <w:szCs w:val="24"/>
        </w:rPr>
        <w:t>хөгжлийн</w:t>
      </w:r>
      <w:proofErr w:type="spellEnd"/>
      <w:r w:rsidRPr="00AE7D0B">
        <w:rPr>
          <w:rFonts w:cs="Arial"/>
          <w:b/>
          <w:color w:val="31849B"/>
          <w:sz w:val="24"/>
          <w:szCs w:val="24"/>
        </w:rPr>
        <w:t xml:space="preserve"> </w:t>
      </w:r>
      <w:proofErr w:type="spellStart"/>
      <w:r w:rsidRPr="00AE7D0B">
        <w:rPr>
          <w:rFonts w:cs="Arial"/>
          <w:b/>
          <w:color w:val="31849B"/>
          <w:sz w:val="24"/>
          <w:szCs w:val="24"/>
        </w:rPr>
        <w:t>зорилгын</w:t>
      </w:r>
      <w:proofErr w:type="spellEnd"/>
      <w:r w:rsidRPr="00AE7D0B">
        <w:rPr>
          <w:rFonts w:cs="Arial"/>
          <w:b/>
          <w:color w:val="31849B"/>
          <w:sz w:val="24"/>
          <w:szCs w:val="24"/>
        </w:rPr>
        <w:t xml:space="preserve"> </w:t>
      </w:r>
      <w:proofErr w:type="spellStart"/>
      <w:r w:rsidRPr="00AE7D0B">
        <w:rPr>
          <w:rFonts w:cs="Arial"/>
          <w:b/>
          <w:color w:val="31849B"/>
          <w:sz w:val="24"/>
          <w:szCs w:val="24"/>
        </w:rPr>
        <w:t>хэрэгжилтийн</w:t>
      </w:r>
      <w:proofErr w:type="spellEnd"/>
      <w:r w:rsidRPr="00AE7D0B">
        <w:rPr>
          <w:rFonts w:cs="Arial"/>
          <w:b/>
          <w:color w:val="31849B"/>
          <w:sz w:val="24"/>
          <w:szCs w:val="24"/>
        </w:rPr>
        <w:t xml:space="preserve"> </w:t>
      </w:r>
      <w:proofErr w:type="spellStart"/>
      <w:r w:rsidRPr="00AE7D0B">
        <w:rPr>
          <w:rFonts w:cs="Arial"/>
          <w:b/>
          <w:color w:val="31849B"/>
          <w:sz w:val="24"/>
          <w:szCs w:val="24"/>
        </w:rPr>
        <w:t>асуудлаарх</w:t>
      </w:r>
      <w:proofErr w:type="spellEnd"/>
    </w:p>
    <w:p w14:paraId="03F5D6C9" w14:textId="77777777" w:rsidR="00AE7D0B" w:rsidRPr="00AE7D0B" w:rsidRDefault="00AE7D0B" w:rsidP="00AE7D0B">
      <w:pPr>
        <w:tabs>
          <w:tab w:val="left" w:pos="-142"/>
          <w:tab w:val="left" w:pos="284"/>
        </w:tabs>
        <w:spacing w:after="0" w:line="240" w:lineRule="auto"/>
        <w:ind w:firstLine="284"/>
        <w:jc w:val="center"/>
        <w:rPr>
          <w:rFonts w:cs="Arial"/>
          <w:b/>
          <w:color w:val="31849B"/>
          <w:sz w:val="24"/>
          <w:szCs w:val="24"/>
        </w:rPr>
      </w:pPr>
      <w:proofErr w:type="spellStart"/>
      <w:r w:rsidRPr="00AE7D0B">
        <w:rPr>
          <w:rFonts w:cs="Arial"/>
          <w:b/>
          <w:color w:val="31849B"/>
          <w:sz w:val="24"/>
          <w:szCs w:val="24"/>
        </w:rPr>
        <w:t>Олон</w:t>
      </w:r>
      <w:proofErr w:type="spellEnd"/>
      <w:r w:rsidRPr="00AE7D0B">
        <w:rPr>
          <w:rFonts w:cs="Arial"/>
          <w:b/>
          <w:color w:val="31849B"/>
          <w:sz w:val="24"/>
          <w:szCs w:val="24"/>
        </w:rPr>
        <w:t xml:space="preserve"> </w:t>
      </w:r>
      <w:proofErr w:type="spellStart"/>
      <w:r w:rsidRPr="00AE7D0B">
        <w:rPr>
          <w:rFonts w:cs="Arial"/>
          <w:b/>
          <w:color w:val="31849B"/>
          <w:sz w:val="24"/>
          <w:szCs w:val="24"/>
        </w:rPr>
        <w:t>Улсын</w:t>
      </w:r>
      <w:proofErr w:type="spellEnd"/>
      <w:r w:rsidRPr="00AE7D0B">
        <w:rPr>
          <w:rFonts w:cs="Arial"/>
          <w:b/>
          <w:color w:val="31849B"/>
          <w:sz w:val="24"/>
          <w:szCs w:val="24"/>
        </w:rPr>
        <w:t xml:space="preserve"> </w:t>
      </w:r>
      <w:proofErr w:type="spellStart"/>
      <w:r w:rsidRPr="00AE7D0B">
        <w:rPr>
          <w:rFonts w:cs="Arial"/>
          <w:b/>
          <w:color w:val="31849B"/>
          <w:sz w:val="24"/>
          <w:szCs w:val="24"/>
        </w:rPr>
        <w:t>Парламентын</w:t>
      </w:r>
      <w:proofErr w:type="spellEnd"/>
      <w:r w:rsidRPr="00AE7D0B">
        <w:rPr>
          <w:rFonts w:cs="Arial"/>
          <w:b/>
          <w:color w:val="31849B"/>
          <w:sz w:val="24"/>
          <w:szCs w:val="24"/>
        </w:rPr>
        <w:t xml:space="preserve"> </w:t>
      </w:r>
      <w:proofErr w:type="spellStart"/>
      <w:r w:rsidRPr="00AE7D0B">
        <w:rPr>
          <w:rFonts w:cs="Arial"/>
          <w:b/>
          <w:color w:val="31849B"/>
          <w:sz w:val="24"/>
          <w:szCs w:val="24"/>
        </w:rPr>
        <w:t>Холбооны</w:t>
      </w:r>
      <w:proofErr w:type="spellEnd"/>
      <w:r w:rsidRPr="00AE7D0B">
        <w:rPr>
          <w:rFonts w:cs="Arial"/>
          <w:b/>
          <w:color w:val="31849B"/>
          <w:sz w:val="24"/>
          <w:szCs w:val="24"/>
        </w:rPr>
        <w:t xml:space="preserve"> </w:t>
      </w:r>
      <w:proofErr w:type="spellStart"/>
      <w:r w:rsidRPr="00AE7D0B">
        <w:rPr>
          <w:rFonts w:cs="Arial"/>
          <w:b/>
          <w:color w:val="31849B"/>
          <w:sz w:val="24"/>
          <w:szCs w:val="24"/>
        </w:rPr>
        <w:t>Ази</w:t>
      </w:r>
      <w:proofErr w:type="spellEnd"/>
      <w:r w:rsidRPr="00AE7D0B">
        <w:rPr>
          <w:rFonts w:cs="Arial"/>
          <w:b/>
          <w:color w:val="31849B"/>
          <w:sz w:val="24"/>
          <w:szCs w:val="24"/>
        </w:rPr>
        <w:t xml:space="preserve">, </w:t>
      </w:r>
      <w:proofErr w:type="spellStart"/>
      <w:r w:rsidRPr="00AE7D0B">
        <w:rPr>
          <w:rFonts w:cs="Arial"/>
          <w:b/>
          <w:color w:val="31849B"/>
          <w:sz w:val="24"/>
          <w:szCs w:val="24"/>
        </w:rPr>
        <w:t>Номхон</w:t>
      </w:r>
      <w:proofErr w:type="spellEnd"/>
      <w:r w:rsidRPr="00AE7D0B">
        <w:rPr>
          <w:rFonts w:cs="Arial"/>
          <w:b/>
          <w:color w:val="31849B"/>
          <w:sz w:val="24"/>
          <w:szCs w:val="24"/>
        </w:rPr>
        <w:t xml:space="preserve"> </w:t>
      </w:r>
      <w:proofErr w:type="spellStart"/>
      <w:r w:rsidRPr="00AE7D0B">
        <w:rPr>
          <w:rFonts w:cs="Arial"/>
          <w:b/>
          <w:color w:val="31849B"/>
          <w:sz w:val="24"/>
          <w:szCs w:val="24"/>
        </w:rPr>
        <w:t>далайн</w:t>
      </w:r>
      <w:proofErr w:type="spellEnd"/>
      <w:r w:rsidRPr="00AE7D0B">
        <w:rPr>
          <w:rFonts w:cs="Arial"/>
          <w:b/>
          <w:color w:val="31849B"/>
          <w:sz w:val="24"/>
          <w:szCs w:val="24"/>
        </w:rPr>
        <w:t xml:space="preserve"> </w:t>
      </w:r>
      <w:proofErr w:type="spellStart"/>
      <w:r w:rsidRPr="00AE7D0B">
        <w:rPr>
          <w:rFonts w:cs="Arial"/>
          <w:b/>
          <w:color w:val="31849B"/>
          <w:sz w:val="24"/>
          <w:szCs w:val="24"/>
        </w:rPr>
        <w:t>бүсийн</w:t>
      </w:r>
      <w:proofErr w:type="spellEnd"/>
    </w:p>
    <w:p w14:paraId="093D833D" w14:textId="77777777" w:rsidR="00AE7D0B" w:rsidRPr="00AE7D0B" w:rsidRDefault="00AE7D0B" w:rsidP="00AE7D0B">
      <w:pPr>
        <w:tabs>
          <w:tab w:val="left" w:pos="-142"/>
          <w:tab w:val="left" w:pos="284"/>
        </w:tabs>
        <w:spacing w:after="0" w:line="240" w:lineRule="auto"/>
        <w:ind w:firstLine="284"/>
        <w:jc w:val="center"/>
        <w:rPr>
          <w:rFonts w:cs="Arial"/>
          <w:b/>
          <w:color w:val="31849B"/>
          <w:sz w:val="24"/>
          <w:szCs w:val="24"/>
        </w:rPr>
      </w:pPr>
      <w:proofErr w:type="spellStart"/>
      <w:proofErr w:type="gramStart"/>
      <w:r w:rsidRPr="00AE7D0B">
        <w:rPr>
          <w:rFonts w:cs="Arial"/>
          <w:b/>
          <w:color w:val="31849B"/>
          <w:sz w:val="24"/>
          <w:szCs w:val="24"/>
        </w:rPr>
        <w:t>хоёрдугаар</w:t>
      </w:r>
      <w:proofErr w:type="spellEnd"/>
      <w:proofErr w:type="gramEnd"/>
      <w:r w:rsidRPr="00AE7D0B">
        <w:rPr>
          <w:rFonts w:cs="Arial"/>
          <w:b/>
          <w:color w:val="31849B"/>
          <w:sz w:val="24"/>
          <w:szCs w:val="24"/>
        </w:rPr>
        <w:t xml:space="preserve"> </w:t>
      </w:r>
      <w:proofErr w:type="spellStart"/>
      <w:r w:rsidRPr="00AE7D0B">
        <w:rPr>
          <w:rFonts w:cs="Arial"/>
          <w:b/>
          <w:color w:val="31849B"/>
          <w:sz w:val="24"/>
          <w:szCs w:val="24"/>
        </w:rPr>
        <w:t>чуулган</w:t>
      </w:r>
      <w:proofErr w:type="spellEnd"/>
    </w:p>
    <w:p w14:paraId="17E060B4" w14:textId="77777777" w:rsidR="00AE7D0B" w:rsidRPr="00AE7D0B" w:rsidRDefault="00AE7D0B" w:rsidP="00AE7D0B">
      <w:pPr>
        <w:tabs>
          <w:tab w:val="left" w:pos="-142"/>
          <w:tab w:val="left" w:pos="284"/>
        </w:tabs>
        <w:spacing w:after="0" w:line="240" w:lineRule="auto"/>
        <w:ind w:firstLine="284"/>
        <w:jc w:val="center"/>
        <w:rPr>
          <w:rFonts w:cs="Arial"/>
          <w:b/>
          <w:noProof/>
          <w:sz w:val="24"/>
          <w:szCs w:val="24"/>
        </w:rPr>
      </w:pPr>
    </w:p>
    <w:p w14:paraId="15EA8CF2" w14:textId="77777777" w:rsidR="00AE7D0B" w:rsidRPr="00AE7D0B" w:rsidRDefault="00AE7D0B" w:rsidP="00AE7D0B">
      <w:pPr>
        <w:tabs>
          <w:tab w:val="left" w:pos="-142"/>
          <w:tab w:val="left" w:pos="0"/>
        </w:tabs>
        <w:spacing w:after="0" w:line="240" w:lineRule="auto"/>
        <w:jc w:val="center"/>
        <w:outlineLvl w:val="0"/>
        <w:rPr>
          <w:rFonts w:cs="Arial"/>
          <w:b/>
          <w:noProof/>
          <w:sz w:val="24"/>
          <w:szCs w:val="24"/>
        </w:rPr>
      </w:pPr>
      <w:r w:rsidRPr="00AE7D0B">
        <w:rPr>
          <w:rFonts w:cs="Arial"/>
          <w:b/>
          <w:noProof/>
          <w:color w:val="31849B"/>
          <w:sz w:val="24"/>
          <w:szCs w:val="24"/>
        </w:rPr>
        <w:t>Монгол Улс, Улаанбаатар хот, 2019 оны 5 дугаар сарын 27-28</w:t>
      </w:r>
    </w:p>
    <w:p w14:paraId="622DD230" w14:textId="77777777" w:rsidR="00AE7D0B" w:rsidRPr="00AE7D0B" w:rsidRDefault="00AE7D0B" w:rsidP="00AE7D0B">
      <w:pPr>
        <w:tabs>
          <w:tab w:val="left" w:pos="-142"/>
          <w:tab w:val="left" w:pos="0"/>
        </w:tabs>
        <w:spacing w:after="0" w:line="240" w:lineRule="auto"/>
        <w:jc w:val="center"/>
        <w:rPr>
          <w:rFonts w:cs="Arial"/>
          <w:b/>
          <w:i/>
          <w:noProof/>
          <w:color w:val="31849B"/>
          <w:spacing w:val="-10"/>
          <w:sz w:val="24"/>
          <w:szCs w:val="24"/>
        </w:rPr>
      </w:pPr>
    </w:p>
    <w:p w14:paraId="12E57712" w14:textId="77777777" w:rsidR="00AE7D0B" w:rsidRPr="00AE7D0B" w:rsidRDefault="00AE7D0B" w:rsidP="00AE7D0B">
      <w:pPr>
        <w:tabs>
          <w:tab w:val="left" w:pos="1815"/>
        </w:tabs>
        <w:spacing w:after="0" w:line="240" w:lineRule="auto"/>
        <w:ind w:left="-426"/>
        <w:jc w:val="center"/>
        <w:outlineLvl w:val="0"/>
        <w:rPr>
          <w:rFonts w:cs="Arial"/>
          <w:noProof/>
          <w:color w:val="31849B"/>
          <w:sz w:val="24"/>
          <w:szCs w:val="24"/>
          <w:lang w:val="en-US"/>
        </w:rPr>
      </w:pPr>
      <w:r w:rsidRPr="00AE7D0B">
        <w:rPr>
          <w:rFonts w:cs="Arial"/>
          <w:noProof/>
          <w:color w:val="31849B"/>
          <w:sz w:val="24"/>
          <w:szCs w:val="24"/>
          <w:lang w:val="en-US"/>
        </w:rPr>
        <w:t xml:space="preserve">Олон Улсын Парламентын Холбоо болон Монгол Улсын Их Хурлаас </w:t>
      </w:r>
    </w:p>
    <w:p w14:paraId="0815BC25" w14:textId="77777777" w:rsidR="00AE7D0B" w:rsidRDefault="00AE7D0B" w:rsidP="00AE7D0B">
      <w:pPr>
        <w:tabs>
          <w:tab w:val="left" w:pos="1815"/>
        </w:tabs>
        <w:spacing w:after="0" w:line="240" w:lineRule="auto"/>
        <w:ind w:left="-426"/>
        <w:jc w:val="center"/>
        <w:outlineLvl w:val="0"/>
        <w:rPr>
          <w:rFonts w:cs="Arial"/>
          <w:noProof/>
          <w:color w:val="31849B"/>
          <w:sz w:val="24"/>
          <w:szCs w:val="24"/>
          <w:lang w:val="en-US"/>
        </w:rPr>
      </w:pPr>
      <w:r w:rsidRPr="00AE7D0B">
        <w:rPr>
          <w:rFonts w:cs="Arial"/>
          <w:noProof/>
          <w:color w:val="31849B"/>
          <w:sz w:val="24"/>
          <w:szCs w:val="24"/>
          <w:lang w:val="en-US"/>
        </w:rPr>
        <w:t>хамтран зохион байгуулна.</w:t>
      </w:r>
    </w:p>
    <w:p w14:paraId="064BCCEF" w14:textId="77777777" w:rsidR="005541DD" w:rsidRPr="00AE7D0B" w:rsidRDefault="005541DD" w:rsidP="00AE7D0B">
      <w:pPr>
        <w:tabs>
          <w:tab w:val="left" w:pos="1815"/>
        </w:tabs>
        <w:spacing w:after="0" w:line="240" w:lineRule="auto"/>
        <w:ind w:left="-426"/>
        <w:jc w:val="center"/>
        <w:outlineLvl w:val="0"/>
        <w:rPr>
          <w:rFonts w:cs="Arial"/>
          <w:noProof/>
          <w:color w:val="31849B"/>
          <w:sz w:val="24"/>
          <w:szCs w:val="24"/>
          <w:lang w:val="en-US"/>
        </w:rPr>
      </w:pPr>
    </w:p>
    <w:p w14:paraId="46478BD0" w14:textId="77777777" w:rsidR="008C5F81" w:rsidRPr="008C5F81" w:rsidRDefault="008C5F81" w:rsidP="008C5F81">
      <w:pPr>
        <w:spacing w:after="0" w:line="240" w:lineRule="auto"/>
        <w:jc w:val="both"/>
        <w:rPr>
          <w:rFonts w:cs="Arial"/>
          <w:sz w:val="24"/>
          <w:szCs w:val="24"/>
          <w:lang w:val="en-US"/>
        </w:rPr>
      </w:pPr>
    </w:p>
    <w:p w14:paraId="41CB8D3E" w14:textId="4D101D62" w:rsidR="008C5F81" w:rsidRPr="008C5F81" w:rsidRDefault="005541DD" w:rsidP="00514238">
      <w:pPr>
        <w:spacing w:after="0" w:line="240" w:lineRule="auto"/>
        <w:jc w:val="center"/>
        <w:rPr>
          <w:rFonts w:cs="Arial"/>
          <w:sz w:val="24"/>
          <w:szCs w:val="24"/>
          <w:lang w:val="en-US"/>
        </w:rPr>
      </w:pPr>
      <w:r w:rsidRPr="008C5F81">
        <w:rPr>
          <w:rFonts w:cs="Arial"/>
          <w:sz w:val="24"/>
          <w:szCs w:val="24"/>
          <w:lang w:val="en-US"/>
        </w:rPr>
        <w:t>ҮЗЭЛ БАРИМТЛАЛ</w:t>
      </w:r>
      <w:r>
        <w:rPr>
          <w:rFonts w:cs="Arial"/>
          <w:sz w:val="24"/>
          <w:szCs w:val="24"/>
          <w:lang w:val="en-US"/>
        </w:rPr>
        <w:t xml:space="preserve"> </w:t>
      </w:r>
      <w:r w:rsidRPr="008C5F81">
        <w:rPr>
          <w:rFonts w:cs="Arial"/>
          <w:sz w:val="24"/>
          <w:szCs w:val="24"/>
          <w:lang w:val="en-US"/>
        </w:rPr>
        <w:t>/</w:t>
      </w:r>
      <w:r>
        <w:rPr>
          <w:rFonts w:cs="Arial"/>
          <w:sz w:val="24"/>
          <w:szCs w:val="24"/>
          <w:lang w:val="en-US"/>
        </w:rPr>
        <w:t xml:space="preserve"> </w:t>
      </w:r>
      <w:r w:rsidRPr="008C5F81">
        <w:rPr>
          <w:rFonts w:cs="Arial"/>
          <w:sz w:val="24"/>
          <w:szCs w:val="24"/>
          <w:lang w:val="en-US"/>
        </w:rPr>
        <w:t>ТАНИЛЦУУЛГА</w:t>
      </w:r>
    </w:p>
    <w:p w14:paraId="5FAD5BD7" w14:textId="77777777" w:rsidR="008C5F81" w:rsidRPr="008C5F81" w:rsidRDefault="008C5F81" w:rsidP="008C5F81">
      <w:pPr>
        <w:spacing w:after="0" w:line="240" w:lineRule="auto"/>
        <w:jc w:val="both"/>
        <w:rPr>
          <w:rFonts w:cs="Arial"/>
          <w:sz w:val="24"/>
          <w:szCs w:val="24"/>
          <w:lang w:val="en-US"/>
        </w:rPr>
      </w:pPr>
    </w:p>
    <w:p w14:paraId="18A9418B" w14:textId="0810EA09" w:rsidR="008C5F81" w:rsidRPr="008C5F81" w:rsidRDefault="008C5F81" w:rsidP="008C5F81">
      <w:pPr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8C5F81">
        <w:rPr>
          <w:rFonts w:cs="Arial"/>
          <w:sz w:val="24"/>
          <w:szCs w:val="24"/>
          <w:lang w:val="en-US"/>
        </w:rPr>
        <w:t>НҮБ-</w:t>
      </w:r>
      <w:proofErr w:type="spellStart"/>
      <w:r w:rsidRPr="008C5F81">
        <w:rPr>
          <w:rFonts w:cs="Arial"/>
          <w:sz w:val="24"/>
          <w:szCs w:val="24"/>
          <w:lang w:val="en-US"/>
        </w:rPr>
        <w:t>ын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Ерөнхий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Ассамблей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2015 </w:t>
      </w:r>
      <w:proofErr w:type="spellStart"/>
      <w:r w:rsidRPr="008C5F81">
        <w:rPr>
          <w:rFonts w:cs="Arial"/>
          <w:sz w:val="24"/>
          <w:szCs w:val="24"/>
          <w:lang w:val="en-US"/>
        </w:rPr>
        <w:t>оны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9 </w:t>
      </w:r>
      <w:proofErr w:type="spellStart"/>
      <w:r w:rsidRPr="008C5F81">
        <w:rPr>
          <w:rFonts w:cs="Arial"/>
          <w:sz w:val="24"/>
          <w:szCs w:val="24"/>
          <w:lang w:val="en-US"/>
        </w:rPr>
        <w:t>дүгээр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сард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“</w:t>
      </w:r>
      <w:proofErr w:type="spellStart"/>
      <w:r w:rsidRPr="008C5F81">
        <w:rPr>
          <w:rFonts w:cs="Arial"/>
          <w:sz w:val="24"/>
          <w:szCs w:val="24"/>
          <w:lang w:val="en-US"/>
        </w:rPr>
        <w:t>Тогтвортой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хөгжил-2030” </w:t>
      </w:r>
      <w:proofErr w:type="spellStart"/>
      <w:r w:rsidRPr="008C5F81">
        <w:rPr>
          <w:rFonts w:cs="Arial"/>
          <w:sz w:val="24"/>
          <w:szCs w:val="24"/>
          <w:lang w:val="en-US"/>
        </w:rPr>
        <w:t>хөтөлбөрийн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нэг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хэсэг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болгож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Тогтвортой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хөгжлийн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зорилгууд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/ТХЗ/-</w:t>
      </w:r>
      <w:proofErr w:type="spellStart"/>
      <w:r w:rsidRPr="008C5F81">
        <w:rPr>
          <w:rFonts w:cs="Arial"/>
          <w:sz w:val="24"/>
          <w:szCs w:val="24"/>
          <w:lang w:val="en-US"/>
        </w:rPr>
        <w:t>ыг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баталсан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. </w:t>
      </w:r>
      <w:proofErr w:type="spellStart"/>
      <w:r w:rsidRPr="008C5F81">
        <w:rPr>
          <w:rFonts w:cs="Arial"/>
          <w:sz w:val="24"/>
          <w:szCs w:val="24"/>
          <w:lang w:val="en-US"/>
        </w:rPr>
        <w:t>Нийтдээ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169 </w:t>
      </w:r>
      <w:proofErr w:type="spellStart"/>
      <w:r w:rsidRPr="008C5F81">
        <w:rPr>
          <w:rFonts w:cs="Arial"/>
          <w:sz w:val="24"/>
          <w:szCs w:val="24"/>
          <w:lang w:val="en-US"/>
        </w:rPr>
        <w:t>зорилт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бүхий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17 </w:t>
      </w:r>
      <w:proofErr w:type="spellStart"/>
      <w:r w:rsidRPr="008C5F81">
        <w:rPr>
          <w:rFonts w:cs="Arial"/>
          <w:sz w:val="24"/>
          <w:szCs w:val="24"/>
          <w:lang w:val="en-US"/>
        </w:rPr>
        <w:t>зорилгоос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бүрддэг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. ТХЗ-д </w:t>
      </w:r>
      <w:proofErr w:type="spellStart"/>
      <w:r w:rsidRPr="008C5F81">
        <w:rPr>
          <w:rFonts w:cs="Arial"/>
          <w:sz w:val="24"/>
          <w:szCs w:val="24"/>
          <w:lang w:val="en-US"/>
        </w:rPr>
        <w:t>нь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аливаа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улсын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үндэсний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бодлогыг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хүмүүнлэгийн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нийтлэг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үзэл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санаанд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чиглүүлж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, </w:t>
      </w:r>
      <w:proofErr w:type="spellStart"/>
      <w:r w:rsidRPr="008C5F81">
        <w:rPr>
          <w:rFonts w:cs="Arial"/>
          <w:sz w:val="24"/>
          <w:szCs w:val="24"/>
          <w:lang w:val="en-US"/>
        </w:rPr>
        <w:t>уялдуулах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зорилготой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. </w:t>
      </w:r>
      <w:proofErr w:type="spellStart"/>
      <w:r w:rsidRPr="008C5F81">
        <w:rPr>
          <w:rFonts w:cs="Arial"/>
          <w:sz w:val="24"/>
          <w:szCs w:val="24"/>
          <w:lang w:val="en-US"/>
        </w:rPr>
        <w:t>Хүн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бүр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өөрийн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хөгжлийг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бүрэн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дүүрэн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, </w:t>
      </w:r>
      <w:proofErr w:type="spellStart"/>
      <w:r w:rsidRPr="008C5F81">
        <w:rPr>
          <w:rFonts w:cs="Arial"/>
          <w:sz w:val="24"/>
          <w:szCs w:val="24"/>
          <w:lang w:val="en-US"/>
        </w:rPr>
        <w:t>чөлөөтэй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мэдэрч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, </w:t>
      </w:r>
      <w:proofErr w:type="spellStart"/>
      <w:r w:rsidRPr="008C5F81">
        <w:rPr>
          <w:rFonts w:cs="Arial"/>
          <w:sz w:val="24"/>
          <w:szCs w:val="24"/>
          <w:lang w:val="en-US"/>
        </w:rPr>
        <w:t>ухамсарлаж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чадахуйц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байгаль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болон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нийгмийн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илүү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таатай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орчинг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бүрдүүлэх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эхлэлийн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цэгийг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эдгээр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зорилгуудыг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гэж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үздэ</w:t>
      </w:r>
      <w:r w:rsidR="00202B00">
        <w:rPr>
          <w:rFonts w:cs="Arial"/>
          <w:sz w:val="24"/>
          <w:szCs w:val="24"/>
          <w:lang w:val="en-US"/>
        </w:rPr>
        <w:t>г</w:t>
      </w:r>
      <w:proofErr w:type="spellEnd"/>
      <w:r w:rsidR="00202B00">
        <w:rPr>
          <w:rFonts w:cs="Arial"/>
          <w:sz w:val="24"/>
          <w:szCs w:val="24"/>
          <w:lang w:val="en-US"/>
        </w:rPr>
        <w:t xml:space="preserve">. ТХЗ-д </w:t>
      </w:r>
      <w:proofErr w:type="spellStart"/>
      <w:r w:rsidR="00202B00">
        <w:rPr>
          <w:rFonts w:cs="Arial"/>
          <w:sz w:val="24"/>
          <w:szCs w:val="24"/>
          <w:lang w:val="en-US"/>
        </w:rPr>
        <w:t>нь</w:t>
      </w:r>
      <w:proofErr w:type="spellEnd"/>
      <w:r w:rsidR="00202B00">
        <w:rPr>
          <w:rFonts w:cs="Arial"/>
          <w:sz w:val="24"/>
          <w:szCs w:val="24"/>
          <w:lang w:val="en-US"/>
        </w:rPr>
        <w:t xml:space="preserve"> </w:t>
      </w:r>
      <w:proofErr w:type="spellStart"/>
      <w:r w:rsidR="00202B00">
        <w:rPr>
          <w:rFonts w:cs="Arial"/>
          <w:sz w:val="24"/>
          <w:szCs w:val="24"/>
          <w:lang w:val="en-US"/>
        </w:rPr>
        <w:t>хэнийг</w:t>
      </w:r>
      <w:proofErr w:type="spellEnd"/>
      <w:r w:rsidR="00202B00">
        <w:rPr>
          <w:rFonts w:cs="Arial"/>
          <w:sz w:val="24"/>
          <w:szCs w:val="24"/>
          <w:lang w:val="en-US"/>
        </w:rPr>
        <w:t xml:space="preserve"> ч </w:t>
      </w:r>
      <w:proofErr w:type="spellStart"/>
      <w:r w:rsidR="00202B00">
        <w:rPr>
          <w:rFonts w:cs="Arial"/>
          <w:sz w:val="24"/>
          <w:szCs w:val="24"/>
          <w:lang w:val="en-US"/>
        </w:rPr>
        <w:t>орхигдуулах</w:t>
      </w:r>
      <w:r w:rsidRPr="008C5F81">
        <w:rPr>
          <w:rFonts w:cs="Arial"/>
          <w:sz w:val="24"/>
          <w:szCs w:val="24"/>
          <w:lang w:val="en-US"/>
        </w:rPr>
        <w:t>гүйгээр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дэлхий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дахиныг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эерэг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өөрчлөлтөд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чиглүүлэх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боломж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бүхий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цогц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бодлогын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хүрээ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юм</w:t>
      </w:r>
      <w:proofErr w:type="spellEnd"/>
      <w:r w:rsidRPr="008C5F81">
        <w:rPr>
          <w:rFonts w:cs="Arial"/>
          <w:sz w:val="24"/>
          <w:szCs w:val="24"/>
          <w:lang w:val="en-US"/>
        </w:rPr>
        <w:t>.</w:t>
      </w:r>
    </w:p>
    <w:p w14:paraId="30441D55" w14:textId="77777777" w:rsidR="008C5F81" w:rsidRPr="008C5F81" w:rsidRDefault="008C5F81" w:rsidP="008C5F81">
      <w:pPr>
        <w:spacing w:after="0" w:line="240" w:lineRule="auto"/>
        <w:jc w:val="both"/>
        <w:rPr>
          <w:rFonts w:cs="Arial"/>
          <w:sz w:val="24"/>
          <w:szCs w:val="24"/>
          <w:lang w:val="en-US"/>
        </w:rPr>
      </w:pPr>
    </w:p>
    <w:p w14:paraId="40260352" w14:textId="77777777" w:rsidR="008C5F81" w:rsidRPr="008C5F81" w:rsidRDefault="008C5F81" w:rsidP="008C5F81">
      <w:pPr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8C5F81">
        <w:rPr>
          <w:rFonts w:cs="Arial"/>
          <w:sz w:val="24"/>
          <w:szCs w:val="24"/>
          <w:lang w:val="en-US"/>
        </w:rPr>
        <w:t>ОУПХ-</w:t>
      </w:r>
      <w:proofErr w:type="spellStart"/>
      <w:r w:rsidRPr="008C5F81">
        <w:rPr>
          <w:rFonts w:cs="Arial"/>
          <w:sz w:val="24"/>
          <w:szCs w:val="24"/>
          <w:lang w:val="en-US"/>
        </w:rPr>
        <w:t>ны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гишүүн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парламентууд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ТХЗ-</w:t>
      </w:r>
      <w:proofErr w:type="spellStart"/>
      <w:r w:rsidRPr="008C5F81">
        <w:rPr>
          <w:rFonts w:cs="Arial"/>
          <w:sz w:val="24"/>
          <w:szCs w:val="24"/>
          <w:lang w:val="en-US"/>
        </w:rPr>
        <w:t>ыг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үр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дүнтэй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хэрэгжүүлэхэд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өөрсдийн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чадах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бүхнээ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хийх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үүрэгтэйгээ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удаа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дараа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илэрхийлсэн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. </w:t>
      </w:r>
      <w:proofErr w:type="spellStart"/>
      <w:r w:rsidRPr="008C5F81">
        <w:rPr>
          <w:rFonts w:cs="Arial"/>
          <w:sz w:val="24"/>
          <w:szCs w:val="24"/>
          <w:lang w:val="en-US"/>
        </w:rPr>
        <w:t>Парламентууд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ТХЗ-</w:t>
      </w:r>
      <w:proofErr w:type="spellStart"/>
      <w:r w:rsidRPr="008C5F81">
        <w:rPr>
          <w:rFonts w:cs="Arial"/>
          <w:sz w:val="24"/>
          <w:szCs w:val="24"/>
          <w:lang w:val="en-US"/>
        </w:rPr>
        <w:t>ыг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үндэсний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хууль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тогтоомждоо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тусгах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, </w:t>
      </w:r>
      <w:proofErr w:type="spellStart"/>
      <w:r w:rsidRPr="008C5F81">
        <w:rPr>
          <w:rFonts w:cs="Arial"/>
          <w:sz w:val="24"/>
          <w:szCs w:val="24"/>
          <w:lang w:val="en-US"/>
        </w:rPr>
        <w:t>засгийн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газруудад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хариуцлага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хүлээлгэх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, </w:t>
      </w:r>
      <w:proofErr w:type="spellStart"/>
      <w:r w:rsidRPr="008C5F81">
        <w:rPr>
          <w:rFonts w:cs="Arial"/>
          <w:sz w:val="24"/>
          <w:szCs w:val="24"/>
          <w:lang w:val="en-US"/>
        </w:rPr>
        <w:t>төсвийг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үндэсний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тогтвортой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хөгжлийн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төлөвлөлттэй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уялдуулахаар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амласан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. </w:t>
      </w:r>
      <w:proofErr w:type="spellStart"/>
      <w:r w:rsidRPr="008C5F81">
        <w:rPr>
          <w:rFonts w:cs="Arial"/>
          <w:sz w:val="24"/>
          <w:szCs w:val="24"/>
          <w:lang w:val="en-US"/>
        </w:rPr>
        <w:t>Тэд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энэхүү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амлалтаа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хэрэгжүүлэхийн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тулд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парламентыг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улам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бэхжүүлж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, </w:t>
      </w:r>
      <w:proofErr w:type="spellStart"/>
      <w:r w:rsidRPr="008C5F81">
        <w:rPr>
          <w:rFonts w:cs="Arial"/>
          <w:sz w:val="24"/>
          <w:szCs w:val="24"/>
          <w:lang w:val="en-US"/>
        </w:rPr>
        <w:t>шийдвэр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гаргах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үйл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явцыг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улам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сайжруулах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шаардлагатайг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онцолсон</w:t>
      </w:r>
      <w:proofErr w:type="spellEnd"/>
      <w:r w:rsidRPr="008C5F81">
        <w:rPr>
          <w:rFonts w:cs="Arial"/>
          <w:sz w:val="24"/>
          <w:szCs w:val="24"/>
          <w:lang w:val="en-US"/>
        </w:rPr>
        <w:t>.</w:t>
      </w:r>
    </w:p>
    <w:p w14:paraId="0D5A3889" w14:textId="77777777" w:rsidR="008C5F81" w:rsidRPr="008C5F81" w:rsidRDefault="008C5F81" w:rsidP="008C5F81">
      <w:pPr>
        <w:spacing w:after="0" w:line="240" w:lineRule="auto"/>
        <w:jc w:val="both"/>
        <w:rPr>
          <w:rFonts w:cs="Arial"/>
          <w:sz w:val="24"/>
          <w:szCs w:val="24"/>
          <w:lang w:val="en-US"/>
        </w:rPr>
      </w:pPr>
    </w:p>
    <w:p w14:paraId="593787C8" w14:textId="77777777" w:rsidR="008C5F81" w:rsidRPr="008C5F81" w:rsidRDefault="008C5F81" w:rsidP="008C5F81">
      <w:pPr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8C5F81">
        <w:rPr>
          <w:rFonts w:cs="Arial"/>
          <w:sz w:val="24"/>
          <w:szCs w:val="24"/>
          <w:lang w:val="en-US"/>
        </w:rPr>
        <w:t xml:space="preserve">2017 </w:t>
      </w:r>
      <w:proofErr w:type="spellStart"/>
      <w:r w:rsidRPr="008C5F81">
        <w:rPr>
          <w:rFonts w:cs="Arial"/>
          <w:sz w:val="24"/>
          <w:szCs w:val="24"/>
          <w:lang w:val="en-US"/>
        </w:rPr>
        <w:t>оны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5 </w:t>
      </w:r>
      <w:proofErr w:type="spellStart"/>
      <w:r w:rsidRPr="008C5F81">
        <w:rPr>
          <w:rFonts w:cs="Arial"/>
          <w:sz w:val="24"/>
          <w:szCs w:val="24"/>
          <w:lang w:val="en-US"/>
        </w:rPr>
        <w:t>дугаар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сард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Ази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, </w:t>
      </w:r>
      <w:proofErr w:type="spellStart"/>
      <w:r w:rsidRPr="008C5F81">
        <w:rPr>
          <w:rFonts w:cs="Arial"/>
          <w:sz w:val="24"/>
          <w:szCs w:val="24"/>
          <w:lang w:val="en-US"/>
        </w:rPr>
        <w:t>Номхон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далайн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бүсийн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орнуудын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парламентууд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ТХЗ-</w:t>
      </w:r>
      <w:proofErr w:type="spellStart"/>
      <w:r w:rsidRPr="008C5F81">
        <w:rPr>
          <w:rFonts w:cs="Arial"/>
          <w:sz w:val="24"/>
          <w:szCs w:val="24"/>
          <w:lang w:val="en-US"/>
        </w:rPr>
        <w:t>ыг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улс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орон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, </w:t>
      </w:r>
      <w:proofErr w:type="spellStart"/>
      <w:r w:rsidRPr="008C5F81">
        <w:rPr>
          <w:rFonts w:cs="Arial"/>
          <w:sz w:val="24"/>
          <w:szCs w:val="24"/>
          <w:lang w:val="en-US"/>
        </w:rPr>
        <w:t>бүс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нутагт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хэрэгжүүлэхэд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тус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дэм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үзүүлэх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тодорхой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алхмуудыг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хэлэлцэхээр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Хо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Ши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Мин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хот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(</w:t>
      </w:r>
      <w:proofErr w:type="spellStart"/>
      <w:r w:rsidRPr="008C5F81">
        <w:rPr>
          <w:rFonts w:cs="Arial"/>
          <w:sz w:val="24"/>
          <w:szCs w:val="24"/>
          <w:lang w:val="en-US"/>
        </w:rPr>
        <w:t>Вьетнам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Улс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)-д </w:t>
      </w:r>
      <w:proofErr w:type="spellStart"/>
      <w:r w:rsidRPr="008C5F81">
        <w:rPr>
          <w:rFonts w:cs="Arial"/>
          <w:sz w:val="24"/>
          <w:szCs w:val="24"/>
          <w:lang w:val="en-US"/>
        </w:rPr>
        <w:t>анх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удаа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чуулсан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. </w:t>
      </w:r>
      <w:proofErr w:type="spellStart"/>
      <w:r w:rsidRPr="008C5F81">
        <w:rPr>
          <w:rFonts w:cs="Arial"/>
          <w:sz w:val="24"/>
          <w:szCs w:val="24"/>
          <w:lang w:val="en-US"/>
        </w:rPr>
        <w:t>Тус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уулзалтаар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ТХЗ-</w:t>
      </w:r>
      <w:proofErr w:type="spellStart"/>
      <w:r w:rsidRPr="008C5F81">
        <w:rPr>
          <w:rFonts w:cs="Arial"/>
          <w:sz w:val="24"/>
          <w:szCs w:val="24"/>
          <w:lang w:val="en-US"/>
        </w:rPr>
        <w:t>дыг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нутагшуулж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, </w:t>
      </w:r>
      <w:proofErr w:type="spellStart"/>
      <w:r w:rsidRPr="008C5F81">
        <w:rPr>
          <w:rFonts w:cs="Arial"/>
          <w:sz w:val="24"/>
          <w:szCs w:val="24"/>
          <w:lang w:val="en-US"/>
        </w:rPr>
        <w:t>хэрэгжүүлэхэд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идэвхтэй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үүрэг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гүйцэтгэхийг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бүх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улс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орны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хууль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тогтоогчдод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уриалсан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төгсгөлийн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баримт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бичгийг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баталсан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. </w:t>
      </w:r>
      <w:proofErr w:type="spellStart"/>
      <w:r w:rsidRPr="008C5F81">
        <w:rPr>
          <w:rFonts w:cs="Arial"/>
          <w:sz w:val="24"/>
          <w:szCs w:val="24"/>
          <w:lang w:val="en-US"/>
        </w:rPr>
        <w:t>Мөн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жендэрийн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тэгш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байдал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, </w:t>
      </w:r>
      <w:proofErr w:type="spellStart"/>
      <w:r w:rsidRPr="008C5F81">
        <w:rPr>
          <w:rFonts w:cs="Arial"/>
          <w:sz w:val="24"/>
          <w:szCs w:val="24"/>
          <w:lang w:val="en-US"/>
        </w:rPr>
        <w:t>уур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амьсгалын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өөрчлөлт</w:t>
      </w:r>
      <w:proofErr w:type="spellEnd"/>
      <w:r w:rsidRPr="008C5F81">
        <w:rPr>
          <w:rFonts w:cs="Arial"/>
          <w:sz w:val="24"/>
          <w:szCs w:val="24"/>
          <w:lang w:val="en-US"/>
        </w:rPr>
        <w:t>, ТХЗ-</w:t>
      </w:r>
      <w:proofErr w:type="spellStart"/>
      <w:r w:rsidRPr="008C5F81">
        <w:rPr>
          <w:rFonts w:cs="Arial"/>
          <w:sz w:val="24"/>
          <w:szCs w:val="24"/>
          <w:lang w:val="en-US"/>
        </w:rPr>
        <w:t>ын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асуудлаарх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салбар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хоорондын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, </w:t>
      </w:r>
      <w:proofErr w:type="spellStart"/>
      <w:r w:rsidRPr="008C5F81">
        <w:rPr>
          <w:rFonts w:cs="Arial"/>
          <w:sz w:val="24"/>
          <w:szCs w:val="24"/>
          <w:lang w:val="en-US"/>
        </w:rPr>
        <w:t>бүсийн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болон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олон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улсын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хамтын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ажиллагаа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зэрэг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хэд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хэдэн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асуудлаар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дорвитой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арга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хэмжээ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авахыг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уриалсан</w:t>
      </w:r>
      <w:proofErr w:type="spellEnd"/>
      <w:r w:rsidRPr="008C5F81">
        <w:rPr>
          <w:rFonts w:cs="Arial"/>
          <w:sz w:val="24"/>
          <w:szCs w:val="24"/>
          <w:lang w:val="en-US"/>
        </w:rPr>
        <w:t>.</w:t>
      </w:r>
    </w:p>
    <w:p w14:paraId="4260DD58" w14:textId="77777777" w:rsidR="008C5F81" w:rsidRPr="008C5F81" w:rsidRDefault="008C5F81" w:rsidP="008C5F81">
      <w:pPr>
        <w:spacing w:after="0" w:line="240" w:lineRule="auto"/>
        <w:jc w:val="both"/>
        <w:rPr>
          <w:rFonts w:cs="Arial"/>
          <w:sz w:val="24"/>
          <w:szCs w:val="24"/>
          <w:lang w:val="en-US"/>
        </w:rPr>
      </w:pPr>
    </w:p>
    <w:p w14:paraId="19186312" w14:textId="77777777" w:rsidR="008C5F81" w:rsidRDefault="008C5F81" w:rsidP="008C5F81">
      <w:pPr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proofErr w:type="spellStart"/>
      <w:r w:rsidRPr="008C5F81">
        <w:rPr>
          <w:rFonts w:cs="Arial"/>
          <w:sz w:val="24"/>
          <w:szCs w:val="24"/>
          <w:lang w:val="en-US"/>
        </w:rPr>
        <w:t>Бүсийн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хоёрдугаар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чуулган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нь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өмнөх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чуулганаар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гарсан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зөвлөмжийг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улам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баяжуулах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, </w:t>
      </w:r>
      <w:proofErr w:type="spellStart"/>
      <w:r w:rsidRPr="008C5F81">
        <w:rPr>
          <w:rFonts w:cs="Arial"/>
          <w:sz w:val="24"/>
          <w:szCs w:val="24"/>
          <w:lang w:val="en-US"/>
        </w:rPr>
        <w:t>мөн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ТХЗ-</w:t>
      </w:r>
      <w:proofErr w:type="spellStart"/>
      <w:r w:rsidRPr="008C5F81">
        <w:rPr>
          <w:rFonts w:cs="Arial"/>
          <w:sz w:val="24"/>
          <w:szCs w:val="24"/>
          <w:lang w:val="en-US"/>
        </w:rPr>
        <w:t>дад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хүрэхэд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боловсролын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гүйцэтгэх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үүрэг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чухал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болохыг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хэлэлцэх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боломжийг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парламентуудад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олгоно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. </w:t>
      </w:r>
      <w:proofErr w:type="spellStart"/>
      <w:r w:rsidRPr="008C5F81">
        <w:rPr>
          <w:rFonts w:cs="Arial"/>
          <w:sz w:val="24"/>
          <w:szCs w:val="24"/>
          <w:lang w:val="en-US"/>
        </w:rPr>
        <w:t>Боловсрол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нь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ядуурлыг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устгахад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төдийгүй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хувь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хүн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, </w:t>
      </w:r>
      <w:proofErr w:type="spellStart"/>
      <w:r w:rsidRPr="008C5F81">
        <w:rPr>
          <w:rFonts w:cs="Arial"/>
          <w:sz w:val="24"/>
          <w:szCs w:val="24"/>
          <w:lang w:val="en-US"/>
        </w:rPr>
        <w:t>олон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нийтийн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мэдлэгийг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нэмэгдүүлж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, </w:t>
      </w:r>
      <w:proofErr w:type="spellStart"/>
      <w:r w:rsidRPr="008C5F81">
        <w:rPr>
          <w:rFonts w:cs="Arial"/>
          <w:sz w:val="24"/>
          <w:szCs w:val="24"/>
          <w:lang w:val="en-US"/>
        </w:rPr>
        <w:t>хандлагад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нь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өөрчлөлт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оруулснаар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эрүүл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мэнддээ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анхаарал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хандуулж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, </w:t>
      </w:r>
      <w:proofErr w:type="spellStart"/>
      <w:r w:rsidRPr="008C5F81">
        <w:rPr>
          <w:rFonts w:cs="Arial"/>
          <w:sz w:val="24"/>
          <w:szCs w:val="24"/>
          <w:lang w:val="en-US"/>
        </w:rPr>
        <w:t>сайжруулах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дадал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зуршлыг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бий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болгоход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нэн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чухал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юм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. </w:t>
      </w:r>
      <w:proofErr w:type="spellStart"/>
      <w:r w:rsidRPr="008C5F81">
        <w:rPr>
          <w:rFonts w:cs="Arial"/>
          <w:sz w:val="24"/>
          <w:szCs w:val="24"/>
          <w:lang w:val="en-US"/>
        </w:rPr>
        <w:t>Уг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чуулган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нь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мөн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"</w:t>
      </w:r>
      <w:proofErr w:type="spellStart"/>
      <w:r w:rsidRPr="008C5F81">
        <w:rPr>
          <w:rFonts w:cs="Arial"/>
          <w:sz w:val="24"/>
          <w:szCs w:val="24"/>
          <w:lang w:val="en-US"/>
        </w:rPr>
        <w:t>байгаль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орчны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боловсрол</w:t>
      </w:r>
      <w:proofErr w:type="spellEnd"/>
      <w:r w:rsidRPr="008C5F81">
        <w:rPr>
          <w:rFonts w:cs="Arial"/>
          <w:sz w:val="24"/>
          <w:szCs w:val="24"/>
          <w:lang w:val="en-US"/>
        </w:rPr>
        <w:t>"-</w:t>
      </w:r>
      <w:proofErr w:type="spellStart"/>
      <w:r w:rsidRPr="008C5F81">
        <w:rPr>
          <w:rFonts w:cs="Arial"/>
          <w:sz w:val="24"/>
          <w:szCs w:val="24"/>
          <w:lang w:val="en-US"/>
        </w:rPr>
        <w:t>ыг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дэмжиж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, </w:t>
      </w:r>
      <w:proofErr w:type="spellStart"/>
      <w:r w:rsidRPr="008C5F81">
        <w:rPr>
          <w:rFonts w:cs="Arial"/>
          <w:sz w:val="24"/>
          <w:szCs w:val="24"/>
          <w:lang w:val="en-US"/>
        </w:rPr>
        <w:t>уур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амьсгалын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өөрчлөлт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, </w:t>
      </w:r>
      <w:proofErr w:type="spellStart"/>
      <w:r w:rsidRPr="008C5F81">
        <w:rPr>
          <w:rFonts w:cs="Arial"/>
          <w:sz w:val="24"/>
          <w:szCs w:val="24"/>
          <w:lang w:val="en-US"/>
        </w:rPr>
        <w:t>гамшгийн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эрсдэлийг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бууруулах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талаарх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мэдлэгийг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нэмэгдүүлэхэд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парламент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, </w:t>
      </w:r>
      <w:proofErr w:type="spellStart"/>
      <w:r w:rsidRPr="008C5F81">
        <w:rPr>
          <w:rFonts w:cs="Arial"/>
          <w:sz w:val="24"/>
          <w:szCs w:val="24"/>
          <w:lang w:val="en-US"/>
        </w:rPr>
        <w:t>парламентын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гишүүд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юу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хийж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чадах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талаар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хэлэлцэнэ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. </w:t>
      </w:r>
      <w:proofErr w:type="spellStart"/>
      <w:r w:rsidRPr="008C5F81">
        <w:rPr>
          <w:rFonts w:cs="Arial"/>
          <w:sz w:val="24"/>
          <w:szCs w:val="24"/>
          <w:lang w:val="en-US"/>
        </w:rPr>
        <w:t>Түүнчлэн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, </w:t>
      </w:r>
      <w:proofErr w:type="spellStart"/>
      <w:r w:rsidRPr="008C5F81">
        <w:rPr>
          <w:rFonts w:cs="Arial"/>
          <w:sz w:val="24"/>
          <w:szCs w:val="24"/>
          <w:lang w:val="en-US"/>
        </w:rPr>
        <w:t>нийгэм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, </w:t>
      </w:r>
      <w:proofErr w:type="spellStart"/>
      <w:r w:rsidRPr="008C5F81">
        <w:rPr>
          <w:rFonts w:cs="Arial"/>
          <w:sz w:val="24"/>
          <w:szCs w:val="24"/>
          <w:lang w:val="en-US"/>
        </w:rPr>
        <w:t>эдийн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засгийн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хувьд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эмзэг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бүлгийн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хүн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амыг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орхигдуулахгүй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байхын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ач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холбогдлыг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онцлох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болно</w:t>
      </w:r>
      <w:proofErr w:type="spellEnd"/>
      <w:r w:rsidRPr="008C5F81">
        <w:rPr>
          <w:rFonts w:cs="Arial"/>
          <w:sz w:val="24"/>
          <w:szCs w:val="24"/>
          <w:lang w:val="en-US"/>
        </w:rPr>
        <w:t>.</w:t>
      </w:r>
    </w:p>
    <w:p w14:paraId="4C3126AD" w14:textId="77777777" w:rsidR="008C5F81" w:rsidRPr="00846689" w:rsidRDefault="008C5F81" w:rsidP="008C5F81">
      <w:pPr>
        <w:spacing w:after="0" w:line="240" w:lineRule="auto"/>
        <w:jc w:val="both"/>
        <w:rPr>
          <w:rFonts w:cs="Arial"/>
          <w:b/>
          <w:sz w:val="24"/>
          <w:szCs w:val="24"/>
          <w:lang w:val="en-US"/>
        </w:rPr>
      </w:pPr>
      <w:proofErr w:type="spellStart"/>
      <w:r w:rsidRPr="00846689">
        <w:rPr>
          <w:rFonts w:cs="Arial"/>
          <w:b/>
          <w:sz w:val="24"/>
          <w:szCs w:val="24"/>
          <w:lang w:val="en-US"/>
        </w:rPr>
        <w:lastRenderedPageBreak/>
        <w:t>Чуулганы</w:t>
      </w:r>
      <w:proofErr w:type="spellEnd"/>
      <w:r w:rsidRPr="00846689">
        <w:rPr>
          <w:rFonts w:cs="Arial"/>
          <w:b/>
          <w:sz w:val="24"/>
          <w:szCs w:val="24"/>
          <w:lang w:val="en-US"/>
        </w:rPr>
        <w:t xml:space="preserve"> </w:t>
      </w:r>
      <w:proofErr w:type="spellStart"/>
      <w:r w:rsidRPr="00846689">
        <w:rPr>
          <w:rFonts w:cs="Arial"/>
          <w:b/>
          <w:sz w:val="24"/>
          <w:szCs w:val="24"/>
          <w:lang w:val="en-US"/>
        </w:rPr>
        <w:t>хуралдааны</w:t>
      </w:r>
      <w:proofErr w:type="spellEnd"/>
      <w:r w:rsidRPr="00846689">
        <w:rPr>
          <w:rFonts w:cs="Arial"/>
          <w:b/>
          <w:sz w:val="24"/>
          <w:szCs w:val="24"/>
          <w:lang w:val="en-US"/>
        </w:rPr>
        <w:t xml:space="preserve"> </w:t>
      </w:r>
      <w:proofErr w:type="spellStart"/>
      <w:r w:rsidRPr="00846689">
        <w:rPr>
          <w:rFonts w:cs="Arial"/>
          <w:b/>
          <w:sz w:val="24"/>
          <w:szCs w:val="24"/>
          <w:lang w:val="en-US"/>
        </w:rPr>
        <w:t>дэг</w:t>
      </w:r>
      <w:proofErr w:type="spellEnd"/>
      <w:r w:rsidRPr="00846689">
        <w:rPr>
          <w:rFonts w:cs="Arial"/>
          <w:b/>
          <w:sz w:val="24"/>
          <w:szCs w:val="24"/>
          <w:lang w:val="en-US"/>
        </w:rPr>
        <w:t xml:space="preserve">, </w:t>
      </w:r>
      <w:proofErr w:type="spellStart"/>
      <w:r w:rsidRPr="00846689">
        <w:rPr>
          <w:rFonts w:cs="Arial"/>
          <w:b/>
          <w:sz w:val="24"/>
          <w:szCs w:val="24"/>
          <w:lang w:val="en-US"/>
        </w:rPr>
        <w:t>зорилго</w:t>
      </w:r>
      <w:proofErr w:type="spellEnd"/>
      <w:r w:rsidRPr="00846689">
        <w:rPr>
          <w:rFonts w:cs="Arial"/>
          <w:b/>
          <w:sz w:val="24"/>
          <w:szCs w:val="24"/>
          <w:lang w:val="en-US"/>
        </w:rPr>
        <w:t xml:space="preserve">, </w:t>
      </w:r>
      <w:proofErr w:type="spellStart"/>
      <w:r w:rsidRPr="00846689">
        <w:rPr>
          <w:rFonts w:cs="Arial"/>
          <w:b/>
          <w:sz w:val="24"/>
          <w:szCs w:val="24"/>
          <w:lang w:val="en-US"/>
        </w:rPr>
        <w:t>хүлээгдэж</w:t>
      </w:r>
      <w:proofErr w:type="spellEnd"/>
      <w:r w:rsidRPr="00846689">
        <w:rPr>
          <w:rFonts w:cs="Arial"/>
          <w:b/>
          <w:sz w:val="24"/>
          <w:szCs w:val="24"/>
          <w:lang w:val="en-US"/>
        </w:rPr>
        <w:t xml:space="preserve"> </w:t>
      </w:r>
      <w:proofErr w:type="spellStart"/>
      <w:r w:rsidRPr="00846689">
        <w:rPr>
          <w:rFonts w:cs="Arial"/>
          <w:b/>
          <w:sz w:val="24"/>
          <w:szCs w:val="24"/>
          <w:lang w:val="en-US"/>
        </w:rPr>
        <w:t>буй</w:t>
      </w:r>
      <w:proofErr w:type="spellEnd"/>
      <w:r w:rsidRPr="00846689">
        <w:rPr>
          <w:rFonts w:cs="Arial"/>
          <w:b/>
          <w:sz w:val="24"/>
          <w:szCs w:val="24"/>
          <w:lang w:val="en-US"/>
        </w:rPr>
        <w:t xml:space="preserve"> </w:t>
      </w:r>
      <w:proofErr w:type="spellStart"/>
      <w:r w:rsidRPr="00846689">
        <w:rPr>
          <w:rFonts w:cs="Arial"/>
          <w:b/>
          <w:sz w:val="24"/>
          <w:szCs w:val="24"/>
          <w:lang w:val="en-US"/>
        </w:rPr>
        <w:t>үр</w:t>
      </w:r>
      <w:proofErr w:type="spellEnd"/>
      <w:r w:rsidRPr="00846689">
        <w:rPr>
          <w:rFonts w:cs="Arial"/>
          <w:b/>
          <w:sz w:val="24"/>
          <w:szCs w:val="24"/>
          <w:lang w:val="en-US"/>
        </w:rPr>
        <w:t xml:space="preserve"> </w:t>
      </w:r>
      <w:proofErr w:type="spellStart"/>
      <w:r w:rsidRPr="00846689">
        <w:rPr>
          <w:rFonts w:cs="Arial"/>
          <w:b/>
          <w:sz w:val="24"/>
          <w:szCs w:val="24"/>
          <w:lang w:val="en-US"/>
        </w:rPr>
        <w:t>дүн</w:t>
      </w:r>
      <w:proofErr w:type="spellEnd"/>
    </w:p>
    <w:p w14:paraId="14A58DA5" w14:textId="77777777" w:rsidR="008C5F81" w:rsidRPr="008C5F81" w:rsidRDefault="008C5F81" w:rsidP="008C5F81">
      <w:pPr>
        <w:spacing w:after="0" w:line="240" w:lineRule="auto"/>
        <w:jc w:val="both"/>
        <w:rPr>
          <w:rFonts w:cs="Arial"/>
          <w:sz w:val="24"/>
          <w:szCs w:val="24"/>
          <w:lang w:val="en-US"/>
        </w:rPr>
      </w:pPr>
    </w:p>
    <w:p w14:paraId="2E37C1C4" w14:textId="77777777" w:rsidR="008C5F81" w:rsidRPr="008C5F81" w:rsidRDefault="008C5F81" w:rsidP="008C5F81">
      <w:pPr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proofErr w:type="spellStart"/>
      <w:r w:rsidRPr="008C5F81">
        <w:rPr>
          <w:rFonts w:cs="Arial"/>
          <w:sz w:val="24"/>
          <w:szCs w:val="24"/>
          <w:lang w:val="en-US"/>
        </w:rPr>
        <w:t>Чуулган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нь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холбогдох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мэргэжилтнүүдээр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удирдуулсан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цуврал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хэлэлцүүлгээс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бүрдэнэ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. </w:t>
      </w:r>
      <w:proofErr w:type="spellStart"/>
      <w:r w:rsidRPr="008C5F81">
        <w:rPr>
          <w:rFonts w:cs="Arial"/>
          <w:sz w:val="24"/>
          <w:szCs w:val="24"/>
          <w:lang w:val="en-US"/>
        </w:rPr>
        <w:t>Эдгээр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хэлэлцүүлгийн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дараа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дугуй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ширээний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ярилцлага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зохион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байгуулна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. </w:t>
      </w:r>
      <w:proofErr w:type="spellStart"/>
      <w:r w:rsidRPr="008C5F81">
        <w:rPr>
          <w:rFonts w:cs="Arial"/>
          <w:sz w:val="24"/>
          <w:szCs w:val="24"/>
          <w:lang w:val="en-US"/>
        </w:rPr>
        <w:t>Гол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зорилго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нь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Ази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, </w:t>
      </w:r>
      <w:proofErr w:type="spellStart"/>
      <w:r w:rsidRPr="008C5F81">
        <w:rPr>
          <w:rFonts w:cs="Arial"/>
          <w:sz w:val="24"/>
          <w:szCs w:val="24"/>
          <w:lang w:val="en-US"/>
        </w:rPr>
        <w:t>Номхон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далайн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бүсийн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парламентууд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туршлагаа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хуваалцах</w:t>
      </w:r>
      <w:proofErr w:type="spellEnd"/>
      <w:r w:rsidRPr="008C5F81">
        <w:rPr>
          <w:rFonts w:cs="Arial"/>
          <w:sz w:val="24"/>
          <w:szCs w:val="24"/>
          <w:lang w:val="en-US"/>
        </w:rPr>
        <w:t>, ТХЗ-</w:t>
      </w:r>
      <w:proofErr w:type="spellStart"/>
      <w:r w:rsidRPr="008C5F81">
        <w:rPr>
          <w:rFonts w:cs="Arial"/>
          <w:sz w:val="24"/>
          <w:szCs w:val="24"/>
          <w:lang w:val="en-US"/>
        </w:rPr>
        <w:t>ыг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хэрэгжүүлэх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, </w:t>
      </w:r>
      <w:proofErr w:type="spellStart"/>
      <w:proofErr w:type="gramStart"/>
      <w:r w:rsidRPr="008C5F81">
        <w:rPr>
          <w:rFonts w:cs="Arial"/>
          <w:sz w:val="24"/>
          <w:szCs w:val="24"/>
          <w:lang w:val="en-US"/>
        </w:rPr>
        <w:t>чингэхдээ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 </w:t>
      </w:r>
      <w:proofErr w:type="spellStart"/>
      <w:r w:rsidRPr="008C5F81">
        <w:rPr>
          <w:rFonts w:cs="Arial"/>
          <w:sz w:val="24"/>
          <w:szCs w:val="24"/>
          <w:lang w:val="en-US"/>
        </w:rPr>
        <w:t>хэнийг</w:t>
      </w:r>
      <w:proofErr w:type="spellEnd"/>
      <w:proofErr w:type="gramEnd"/>
      <w:r w:rsidRPr="008C5F81">
        <w:rPr>
          <w:rFonts w:cs="Arial"/>
          <w:sz w:val="24"/>
          <w:szCs w:val="24"/>
          <w:lang w:val="en-US"/>
        </w:rPr>
        <w:t xml:space="preserve"> ч </w:t>
      </w:r>
      <w:proofErr w:type="spellStart"/>
      <w:r w:rsidRPr="008C5F81">
        <w:rPr>
          <w:rFonts w:cs="Arial"/>
          <w:sz w:val="24"/>
          <w:szCs w:val="24"/>
          <w:lang w:val="en-US"/>
        </w:rPr>
        <w:t>орхигдуулахгүй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байх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хамгийн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үр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дүнтэй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арга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замуудын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талаар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цогц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хэлэлцүүлэг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өрнүүлэхэд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оршино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. </w:t>
      </w:r>
      <w:proofErr w:type="spellStart"/>
      <w:r w:rsidRPr="008C5F81">
        <w:rPr>
          <w:rFonts w:cs="Arial"/>
          <w:sz w:val="24"/>
          <w:szCs w:val="24"/>
          <w:lang w:val="en-US"/>
        </w:rPr>
        <w:t>Чуулган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нь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ТХЗ-</w:t>
      </w:r>
      <w:proofErr w:type="spellStart"/>
      <w:r w:rsidRPr="008C5F81">
        <w:rPr>
          <w:rFonts w:cs="Arial"/>
          <w:sz w:val="24"/>
          <w:szCs w:val="24"/>
          <w:lang w:val="en-US"/>
        </w:rPr>
        <w:t>ыг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хэрэгжүүлэх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парламентын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үр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дүнтэй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стратеги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боловсруулах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сайн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туршлагуудтай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танилцах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боломж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олгох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талбар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болно</w:t>
      </w:r>
      <w:proofErr w:type="spellEnd"/>
      <w:r w:rsidRPr="008C5F81">
        <w:rPr>
          <w:rFonts w:cs="Arial"/>
          <w:sz w:val="24"/>
          <w:szCs w:val="24"/>
          <w:lang w:val="en-US"/>
        </w:rPr>
        <w:t>.</w:t>
      </w:r>
    </w:p>
    <w:p w14:paraId="2C115957" w14:textId="77777777" w:rsidR="008C5F81" w:rsidRPr="008C5F81" w:rsidRDefault="008C5F81" w:rsidP="008C5F81">
      <w:pPr>
        <w:spacing w:after="0" w:line="240" w:lineRule="auto"/>
        <w:jc w:val="both"/>
        <w:rPr>
          <w:rFonts w:cs="Arial"/>
          <w:sz w:val="24"/>
          <w:szCs w:val="24"/>
          <w:lang w:val="en-US"/>
        </w:rPr>
      </w:pPr>
    </w:p>
    <w:p w14:paraId="309D2FFB" w14:textId="77777777" w:rsidR="008C5F81" w:rsidRPr="008C5F81" w:rsidRDefault="008C5F81" w:rsidP="008C5F81">
      <w:pPr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proofErr w:type="spellStart"/>
      <w:r w:rsidRPr="008C5F81">
        <w:rPr>
          <w:rFonts w:cs="Arial"/>
          <w:sz w:val="24"/>
          <w:szCs w:val="24"/>
          <w:lang w:val="en-US"/>
        </w:rPr>
        <w:t>Уг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чуулганы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хөтөлбөрт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Монгол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Улсын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Их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Хурлаас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зохион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байгуулах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танилцах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аялал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багтах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болно</w:t>
      </w:r>
      <w:proofErr w:type="spellEnd"/>
      <w:r w:rsidRPr="008C5F81">
        <w:rPr>
          <w:rFonts w:cs="Arial"/>
          <w:sz w:val="24"/>
          <w:szCs w:val="24"/>
          <w:lang w:val="en-US"/>
        </w:rPr>
        <w:t>.</w:t>
      </w:r>
    </w:p>
    <w:p w14:paraId="19466DB4" w14:textId="77777777" w:rsidR="008C5F81" w:rsidRPr="008C5F81" w:rsidRDefault="008C5F81" w:rsidP="008C5F81">
      <w:pPr>
        <w:spacing w:after="0" w:line="240" w:lineRule="auto"/>
        <w:jc w:val="both"/>
        <w:rPr>
          <w:rFonts w:cs="Arial"/>
          <w:sz w:val="24"/>
          <w:szCs w:val="24"/>
          <w:lang w:val="en-US"/>
        </w:rPr>
      </w:pPr>
    </w:p>
    <w:p w14:paraId="3DEB4ABD" w14:textId="77777777" w:rsidR="008C5F81" w:rsidRPr="008C5F81" w:rsidRDefault="008C5F81" w:rsidP="008C5F81">
      <w:pPr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proofErr w:type="spellStart"/>
      <w:r w:rsidRPr="008C5F81">
        <w:rPr>
          <w:rFonts w:cs="Arial"/>
          <w:sz w:val="24"/>
          <w:szCs w:val="24"/>
          <w:lang w:val="en-US"/>
        </w:rPr>
        <w:t>Уг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чуулганы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эцэст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хэлэлцсэн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гол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асуудлуудыг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онцлон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тэмдэглэсэн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, </w:t>
      </w:r>
      <w:proofErr w:type="spellStart"/>
      <w:r w:rsidRPr="008C5F81">
        <w:rPr>
          <w:rFonts w:cs="Arial"/>
          <w:sz w:val="24"/>
          <w:szCs w:val="24"/>
          <w:lang w:val="en-US"/>
        </w:rPr>
        <w:t>үндэсний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болон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бүс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нутгийн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хэмжээнд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ТХЗ-</w:t>
      </w:r>
      <w:proofErr w:type="spellStart"/>
      <w:r w:rsidRPr="008C5F81">
        <w:rPr>
          <w:rFonts w:cs="Arial"/>
          <w:sz w:val="24"/>
          <w:szCs w:val="24"/>
          <w:lang w:val="en-US"/>
        </w:rPr>
        <w:t>ын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хэрэгжилтийг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сайжруулах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үр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дүнтэй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санал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зөвлөмжийг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тусгасан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төгсгөлийн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баримт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бичиг</w:t>
      </w:r>
      <w:proofErr w:type="spellEnd"/>
      <w:r w:rsidRPr="008C5F81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8C5F81">
        <w:rPr>
          <w:rFonts w:cs="Arial"/>
          <w:sz w:val="24"/>
          <w:szCs w:val="24"/>
          <w:lang w:val="en-US"/>
        </w:rPr>
        <w:t>гарна</w:t>
      </w:r>
      <w:proofErr w:type="spellEnd"/>
      <w:r w:rsidRPr="008C5F81">
        <w:rPr>
          <w:rFonts w:cs="Arial"/>
          <w:sz w:val="24"/>
          <w:szCs w:val="24"/>
          <w:lang w:val="en-US"/>
        </w:rPr>
        <w:t>.</w:t>
      </w:r>
    </w:p>
    <w:p w14:paraId="2EB5661E" w14:textId="77777777" w:rsidR="008C5F81" w:rsidRPr="008C5F81" w:rsidRDefault="008C5F81" w:rsidP="008C5F81">
      <w:pPr>
        <w:spacing w:after="0" w:line="240" w:lineRule="auto"/>
        <w:jc w:val="both"/>
        <w:rPr>
          <w:rFonts w:cs="Arial"/>
          <w:sz w:val="24"/>
          <w:szCs w:val="24"/>
          <w:lang w:val="en-US"/>
        </w:rPr>
      </w:pPr>
    </w:p>
    <w:p w14:paraId="3455A873" w14:textId="77777777" w:rsidR="008C5F81" w:rsidRPr="00F56189" w:rsidRDefault="008C5F81" w:rsidP="008C5F81">
      <w:pPr>
        <w:spacing w:after="0" w:line="240" w:lineRule="auto"/>
        <w:jc w:val="both"/>
        <w:rPr>
          <w:rFonts w:cs="Arial"/>
          <w:sz w:val="24"/>
          <w:szCs w:val="24"/>
          <w:lang w:val="en-US"/>
        </w:rPr>
      </w:pPr>
    </w:p>
    <w:p w14:paraId="60C3E035" w14:textId="77777777" w:rsidR="00CA2976" w:rsidRPr="008B2647" w:rsidRDefault="00CA2976" w:rsidP="00CA2976">
      <w:pPr>
        <w:rPr>
          <w:rFonts w:cs="Arial"/>
          <w:lang w:val="en-US"/>
        </w:rPr>
      </w:pPr>
    </w:p>
    <w:sectPr w:rsidR="00CA2976" w:rsidRPr="008B2647" w:rsidSect="00747278">
      <w:headerReference w:type="default" r:id="rId9"/>
      <w:footerReference w:type="default" r:id="rId10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1B4E54DC" w14:textId="77777777" w:rsidR="003B54C1" w:rsidRDefault="003B54C1">
      <w:pPr>
        <w:spacing w:after="0" w:line="240" w:lineRule="auto"/>
      </w:pPr>
      <w:r>
        <w:separator/>
      </w:r>
    </w:p>
  </w:endnote>
  <w:endnote w:type="continuationSeparator" w:id="0">
    <w:p w14:paraId="32A1CD57" w14:textId="77777777" w:rsidR="003B54C1" w:rsidRDefault="003B54C1">
      <w:pPr>
        <w:spacing w:after="0" w:line="240" w:lineRule="auto"/>
      </w:pPr>
      <w:r>
        <w:continuationSeparator/>
      </w:r>
    </w:p>
  </w:endnote>
  <w:endnote w:type="continuationNotice" w:id="1">
    <w:p w14:paraId="71AEC933" w14:textId="77777777" w:rsidR="003B54C1" w:rsidRDefault="003B54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FB468" w14:textId="77777777" w:rsidR="00CD1669" w:rsidRDefault="00CD166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3053F2BE" w14:textId="77777777" w:rsidR="003B54C1" w:rsidRDefault="003B54C1">
      <w:pPr>
        <w:spacing w:after="0" w:line="240" w:lineRule="auto"/>
      </w:pPr>
      <w:r>
        <w:separator/>
      </w:r>
    </w:p>
  </w:footnote>
  <w:footnote w:type="continuationSeparator" w:id="0">
    <w:p w14:paraId="10B6EC96" w14:textId="77777777" w:rsidR="003B54C1" w:rsidRDefault="003B54C1">
      <w:pPr>
        <w:spacing w:after="0" w:line="240" w:lineRule="auto"/>
      </w:pPr>
      <w:r>
        <w:continuationSeparator/>
      </w:r>
    </w:p>
  </w:footnote>
  <w:footnote w:type="continuationNotice" w:id="1">
    <w:p w14:paraId="71B047AC" w14:textId="77777777" w:rsidR="003B54C1" w:rsidRDefault="003B54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1658D" w14:textId="77777777" w:rsidR="00CD1669" w:rsidRDefault="00CD166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6ECE2FCB"/>
    <w:multiLevelType w:val="hybridMultilevel"/>
    <w:tmpl w:val="5186EA2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197E"/>
    <w:rsid w:val="000329E5"/>
    <w:rsid w:val="0004150C"/>
    <w:rsid w:val="000733CD"/>
    <w:rsid w:val="000C1B42"/>
    <w:rsid w:val="001009E0"/>
    <w:rsid w:val="0011390C"/>
    <w:rsid w:val="0012709B"/>
    <w:rsid w:val="0012734A"/>
    <w:rsid w:val="00147A2C"/>
    <w:rsid w:val="00155CA4"/>
    <w:rsid w:val="0017200A"/>
    <w:rsid w:val="001804D7"/>
    <w:rsid w:val="00180580"/>
    <w:rsid w:val="00186BC2"/>
    <w:rsid w:val="00191836"/>
    <w:rsid w:val="001C1F49"/>
    <w:rsid w:val="001F6A56"/>
    <w:rsid w:val="001F709C"/>
    <w:rsid w:val="00202B00"/>
    <w:rsid w:val="002135A4"/>
    <w:rsid w:val="00217D59"/>
    <w:rsid w:val="002674D2"/>
    <w:rsid w:val="00292315"/>
    <w:rsid w:val="002A22CE"/>
    <w:rsid w:val="002A249E"/>
    <w:rsid w:val="002B416D"/>
    <w:rsid w:val="002E5CB9"/>
    <w:rsid w:val="00323F45"/>
    <w:rsid w:val="00325E84"/>
    <w:rsid w:val="00391C7D"/>
    <w:rsid w:val="00392A64"/>
    <w:rsid w:val="003B54C1"/>
    <w:rsid w:val="003B7747"/>
    <w:rsid w:val="003C7F0A"/>
    <w:rsid w:val="003D1A26"/>
    <w:rsid w:val="003F439A"/>
    <w:rsid w:val="003F493F"/>
    <w:rsid w:val="003F543B"/>
    <w:rsid w:val="00403BF3"/>
    <w:rsid w:val="004072A6"/>
    <w:rsid w:val="00432DB0"/>
    <w:rsid w:val="00440C38"/>
    <w:rsid w:val="00454302"/>
    <w:rsid w:val="00493290"/>
    <w:rsid w:val="00514238"/>
    <w:rsid w:val="005541DD"/>
    <w:rsid w:val="00557AF7"/>
    <w:rsid w:val="005651D1"/>
    <w:rsid w:val="00574C35"/>
    <w:rsid w:val="005F305A"/>
    <w:rsid w:val="00653F67"/>
    <w:rsid w:val="00660A15"/>
    <w:rsid w:val="00674A39"/>
    <w:rsid w:val="006B0865"/>
    <w:rsid w:val="006D1E2D"/>
    <w:rsid w:val="006E44BF"/>
    <w:rsid w:val="006F1E20"/>
    <w:rsid w:val="006F5FFF"/>
    <w:rsid w:val="00702482"/>
    <w:rsid w:val="007059C9"/>
    <w:rsid w:val="0073658E"/>
    <w:rsid w:val="00747278"/>
    <w:rsid w:val="00774398"/>
    <w:rsid w:val="00785EF4"/>
    <w:rsid w:val="007F05EA"/>
    <w:rsid w:val="007F3116"/>
    <w:rsid w:val="00846689"/>
    <w:rsid w:val="0087179A"/>
    <w:rsid w:val="00875801"/>
    <w:rsid w:val="008B2647"/>
    <w:rsid w:val="008C00D8"/>
    <w:rsid w:val="008C45AC"/>
    <w:rsid w:val="008C5F81"/>
    <w:rsid w:val="008D6744"/>
    <w:rsid w:val="008E2027"/>
    <w:rsid w:val="009119CD"/>
    <w:rsid w:val="0091546F"/>
    <w:rsid w:val="00927DDF"/>
    <w:rsid w:val="00933739"/>
    <w:rsid w:val="00974EB3"/>
    <w:rsid w:val="009837B2"/>
    <w:rsid w:val="00993577"/>
    <w:rsid w:val="009C5765"/>
    <w:rsid w:val="009D30DD"/>
    <w:rsid w:val="009D31BD"/>
    <w:rsid w:val="009D4E4F"/>
    <w:rsid w:val="009E0F79"/>
    <w:rsid w:val="009E11BF"/>
    <w:rsid w:val="00A164B8"/>
    <w:rsid w:val="00A60BAB"/>
    <w:rsid w:val="00A76737"/>
    <w:rsid w:val="00A9086F"/>
    <w:rsid w:val="00A934FC"/>
    <w:rsid w:val="00A960D0"/>
    <w:rsid w:val="00AA0657"/>
    <w:rsid w:val="00AE1755"/>
    <w:rsid w:val="00AE197E"/>
    <w:rsid w:val="00AE7D0B"/>
    <w:rsid w:val="00B058E5"/>
    <w:rsid w:val="00B201FE"/>
    <w:rsid w:val="00B65E20"/>
    <w:rsid w:val="00B8323E"/>
    <w:rsid w:val="00BF01FC"/>
    <w:rsid w:val="00C30BD0"/>
    <w:rsid w:val="00C424E3"/>
    <w:rsid w:val="00C44C1E"/>
    <w:rsid w:val="00C50348"/>
    <w:rsid w:val="00C808B5"/>
    <w:rsid w:val="00CA2976"/>
    <w:rsid w:val="00CC28EC"/>
    <w:rsid w:val="00CD1669"/>
    <w:rsid w:val="00D015DD"/>
    <w:rsid w:val="00D06496"/>
    <w:rsid w:val="00D07C6A"/>
    <w:rsid w:val="00D11974"/>
    <w:rsid w:val="00D55307"/>
    <w:rsid w:val="00D70351"/>
    <w:rsid w:val="00D9079F"/>
    <w:rsid w:val="00DA1C47"/>
    <w:rsid w:val="00DB1BBB"/>
    <w:rsid w:val="00DB2262"/>
    <w:rsid w:val="00DF53C7"/>
    <w:rsid w:val="00E268C6"/>
    <w:rsid w:val="00E35363"/>
    <w:rsid w:val="00E47C2F"/>
    <w:rsid w:val="00E52A53"/>
    <w:rsid w:val="00E92359"/>
    <w:rsid w:val="00F00D2D"/>
    <w:rsid w:val="00F35A94"/>
    <w:rsid w:val="00F84D95"/>
    <w:rsid w:val="00FA6245"/>
    <w:rsid w:val="00FC7604"/>
    <w:rsid w:val="00FE50E7"/>
    <w:rsid w:val="00FF05AA"/>
    <w:rsid w:val="00FF29EA"/>
    <w:rsid w:val="00FF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2CCCD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lang w:val="fr-CH"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68C6"/>
    <w:rPr>
      <w:lang w:val="fr-CH" w:eastAsia="fr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43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1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669"/>
    <w:rPr>
      <w:lang w:val="fr-CH" w:eastAsia="fr-CH"/>
    </w:rPr>
  </w:style>
  <w:style w:type="paragraph" w:styleId="Footer">
    <w:name w:val="footer"/>
    <w:basedOn w:val="Normal"/>
    <w:link w:val="FooterChar"/>
    <w:uiPriority w:val="99"/>
    <w:unhideWhenUsed/>
    <w:rsid w:val="00CD1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669"/>
    <w:rPr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518</Words>
  <Characters>2955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Interparliamentary Union</Company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Bertrand</dc:creator>
  <cp:lastModifiedBy>Microsoft Office User</cp:lastModifiedBy>
  <cp:revision>19</cp:revision>
  <cp:lastPrinted>2019-05-01T01:12:00Z</cp:lastPrinted>
  <dcterms:created xsi:type="dcterms:W3CDTF">2019-05-03T02:22:00Z</dcterms:created>
  <dcterms:modified xsi:type="dcterms:W3CDTF">2019-05-03T08:55:00Z</dcterms:modified>
</cp:coreProperties>
</file>