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suppressAutoHyphens w:val="false"/>
        <w:spacing w:after="0" w:before="0" w:line="100" w:lineRule="atLeast"/>
        <w:ind w:firstLine="420" w:left="0" w:right="0"/>
        <w:jc w:val="center"/>
      </w:pPr>
      <w:r>
        <w:rPr>
          <w:rFonts w:cs="Arial" w:eastAsia="Times New Roman"/>
          <w:sz w:val="24"/>
          <w:szCs w:val="24"/>
          <w:lang w:bidi="ar-SA" w:eastAsia="en-US" w:val="mn-MN"/>
        </w:rPr>
        <w:t>“</w:t>
      </w:r>
      <w:bookmarkStart w:id="0" w:name="__DdeLink__729_1000664378"/>
      <w:r>
        <w:rPr>
          <w:rFonts w:cs="Arial" w:eastAsia="Times New Roman"/>
          <w:sz w:val="24"/>
          <w:szCs w:val="24"/>
          <w:lang w:bidi="ar-SA" w:eastAsia="en-US" w:val="mn-MN"/>
        </w:rPr>
        <w:t>Төрөөс хүнс, хөдөө аж ахуйн талаар баримтлах бодлого батлах тухай” болон “Халх гол” чөлөөт бүс байгуулах тухай Улсын Их Хурлын тогтоолын төслүүдийн</w:t>
      </w:r>
      <w:r>
        <w:rPr>
          <w:rFonts w:cs="Arial" w:eastAsia="Times New Roman"/>
          <w:lang w:bidi="ar-SA" w:eastAsia="en-US" w:val="mn-MN"/>
        </w:rPr>
        <w:t xml:space="preserve">  ажлын </w:t>
      </w:r>
    </w:p>
    <w:p>
      <w:pPr>
        <w:pStyle w:val="style0"/>
        <w:widowControl/>
        <w:suppressAutoHyphens w:val="false"/>
        <w:spacing w:after="0" w:before="0" w:line="100" w:lineRule="atLeast"/>
        <w:ind w:firstLine="420" w:left="0" w:right="0"/>
        <w:jc w:val="center"/>
      </w:pPr>
      <w:r>
        <w:rPr>
          <w:rFonts w:cs="Arial" w:eastAsia="Times New Roman"/>
          <w:lang w:bidi="ar-SA" w:eastAsia="en-US" w:val="mn-MN"/>
        </w:rPr>
        <w:t>хэсгийн хуралдааны тойм</w:t>
      </w:r>
      <w:bookmarkEnd w:id="0"/>
      <w:r>
        <w:rPr>
          <w:rFonts w:cs="Arial" w:eastAsia="Times New Roman"/>
          <w:lang w:bidi="ar-SA" w:eastAsia="en-US" w:val="mn-MN"/>
        </w:rPr>
        <w:t xml:space="preserve"> /2015.07.02/</w:t>
      </w:r>
    </w:p>
    <w:p>
      <w:pPr>
        <w:pStyle w:val="style0"/>
        <w:widowControl/>
        <w:suppressAutoHyphens w:val="false"/>
        <w:spacing w:after="0" w:before="0" w:line="100" w:lineRule="atLeast"/>
        <w:ind w:firstLine="420" w:left="0" w:right="0"/>
        <w:jc w:val="center"/>
      </w:pPr>
      <w:r>
        <w:rPr/>
      </w:r>
    </w:p>
    <w:p>
      <w:pPr>
        <w:pStyle w:val="style0"/>
        <w:spacing w:after="0" w:before="0"/>
        <w:ind w:firstLine="420" w:left="0" w:right="0"/>
        <w:jc w:val="both"/>
      </w:pPr>
      <w:r>
        <w:rPr>
          <w:rFonts w:cs="Arial" w:eastAsia="Times New Roman"/>
          <w:sz w:val="24"/>
          <w:szCs w:val="24"/>
          <w:lang w:bidi="ar-SA" w:eastAsia="en-US" w:val="mn-MN"/>
        </w:rPr>
        <w:t>“</w:t>
      </w:r>
      <w:r>
        <w:rPr>
          <w:rFonts w:cs="Arial" w:eastAsia="Times New Roman"/>
          <w:sz w:val="24"/>
          <w:szCs w:val="24"/>
          <w:lang w:bidi="ar-SA" w:eastAsia="en-US" w:val="mn-MN"/>
        </w:rPr>
        <w:t>Төрөөс хүнс, хөдөө аж ахуйн талаар баримтлах бодлого батлах тухай” болон “Халх гол” чөлөөт бүс байгуулах тухай Улсын Их Хурлын тогтоолын төслүүдийг</w:t>
      </w:r>
      <w:r>
        <w:rPr>
          <w:rFonts w:cs="Times New Roman" w:eastAsia="Times New Roman"/>
          <w:sz w:val="24"/>
          <w:szCs w:val="24"/>
          <w:lang w:bidi="ar-SA" w:eastAsia="en-US" w:val="mn-MN"/>
        </w:rPr>
        <w:t xml:space="preserve"> хэлэлцүүлэгт бэлтгэх үүрэг бүхий  ажлын хэсгийн хурал </w:t>
      </w:r>
      <w:r>
        <w:rPr>
          <w:rFonts w:cs="Arial" w:eastAsia="Times New Roman"/>
          <w:lang w:bidi="ar-SA" w:eastAsia="en-US"/>
        </w:rPr>
        <w:t>2015 оны 7-р сарын 02-ны өдрийн 17.00</w:t>
      </w:r>
      <w:r>
        <w:rPr>
          <w:rFonts w:cs="Arial" w:eastAsia="Times New Roman"/>
          <w:lang w:bidi="ar-SA" w:eastAsia="en-US" w:val="mn-MN"/>
        </w:rPr>
        <w:t xml:space="preserve"> </w:t>
      </w:r>
      <w:r>
        <w:rPr>
          <w:rFonts w:cs="Arial" w:eastAsia="Times New Roman"/>
          <w:lang w:bidi="ar-SA" w:eastAsia="en-US"/>
        </w:rPr>
        <w:t>цаг</w:t>
      </w:r>
      <w:r>
        <w:rPr>
          <w:rFonts w:cs="Arial" w:eastAsia="Times New Roman"/>
          <w:lang w:bidi="ar-SA" w:eastAsia="en-US" w:val="mn-MN"/>
        </w:rPr>
        <w:t>т</w:t>
      </w:r>
      <w:r>
        <w:rPr>
          <w:rFonts w:cs="Arial" w:eastAsia="Times New Roman"/>
          <w:lang w:bidi="ar-SA" w:eastAsia="en-US"/>
        </w:rPr>
        <w:t xml:space="preserve"> Төрийн ордны “В” танхимд  хуралд</w:t>
      </w:r>
      <w:r>
        <w:rPr>
          <w:rFonts w:cs="Arial" w:eastAsia="Times New Roman"/>
          <w:lang w:bidi="ar-SA" w:eastAsia="en-US" w:val="mn-MN"/>
        </w:rPr>
        <w:t>ав</w:t>
      </w:r>
      <w:r>
        <w:rPr>
          <w:rFonts w:cs="Arial" w:eastAsia="Times New Roman"/>
          <w:lang w:bidi="ar-SA" w:eastAsia="en-US"/>
        </w:rPr>
        <w:t>.</w:t>
      </w:r>
    </w:p>
    <w:p>
      <w:pPr>
        <w:pStyle w:val="style0"/>
        <w:spacing w:after="0" w:before="0"/>
        <w:ind w:firstLine="420" w:left="0" w:right="0"/>
        <w:jc w:val="both"/>
      </w:pPr>
      <w:r>
        <w:rPr/>
      </w:r>
    </w:p>
    <w:p>
      <w:pPr>
        <w:pStyle w:val="style0"/>
        <w:ind w:hanging="0" w:left="0" w:right="0"/>
        <w:jc w:val="both"/>
      </w:pPr>
      <w:r>
        <w:rPr>
          <w:rFonts w:cs="Arial" w:eastAsia="Times New Roman"/>
          <w:lang w:bidi="ar-SA" w:eastAsia="en-US" w:val="mn-MN"/>
        </w:rPr>
        <w:tab/>
        <w:t>Х</w:t>
      </w:r>
      <w:r>
        <w:rPr>
          <w:rFonts w:cs="Arial" w:eastAsia="Times New Roman"/>
          <w:lang w:bidi="ar-SA" w:eastAsia="en-US"/>
        </w:rPr>
        <w:t xml:space="preserve">уралдаанд </w:t>
      </w:r>
      <w:bookmarkStart w:id="1" w:name="__DdeLink__639_1656093363"/>
      <w:r>
        <w:rPr>
          <w:rFonts w:cs="Arial" w:eastAsia="Times New Roman"/>
          <w:lang w:bidi="ar-SA" w:eastAsia="en-US"/>
        </w:rPr>
        <w:t xml:space="preserve">Улсын Их Хурлын гишүүн, Ажлын хэсгийн ахлагч Су.Батболд, </w:t>
      </w:r>
      <w:bookmarkEnd w:id="1"/>
      <w:r>
        <w:rPr>
          <w:rFonts w:cs="Arial" w:eastAsia="Times New Roman"/>
          <w:lang w:bidi="ar-SA" w:eastAsia="en-US" w:val="mn-MN"/>
        </w:rPr>
        <w:t xml:space="preserve"> Улсын Их Хурлын гишүүн А.Бакей, Ц.Дашдорж, С.Дэмбэрэл, </w:t>
      </w:r>
      <w:r>
        <w:rPr>
          <w:rFonts w:ascii="Arial" w:cs="Arial" w:eastAsia="Times New Roman" w:hAnsi="Arial"/>
          <w:sz w:val="24"/>
          <w:szCs w:val="24"/>
          <w:lang w:bidi="ar-SA" w:eastAsia="en-US" w:val="mn-MN"/>
        </w:rPr>
        <w:t xml:space="preserve">Хүнс, хөдөө аж ахуйн сайд Р.Бурмаа, Төрийн нарийн бичгийн </w:t>
      </w:r>
      <w:r>
        <w:rPr>
          <w:rFonts w:ascii="Arial" w:cs="Arial" w:hAnsi="Arial"/>
          <w:sz w:val="24"/>
          <w:szCs w:val="24"/>
          <w:lang w:val="mn-MN"/>
        </w:rPr>
        <w:t xml:space="preserve">дарга </w:t>
      </w:r>
      <w:r>
        <w:rPr>
          <w:rFonts w:ascii="Arial" w:cs="Arial" w:eastAsia="Times New Roman" w:hAnsi="Arial"/>
          <w:b w:val="false"/>
          <w:bCs w:val="false"/>
          <w:sz w:val="24"/>
          <w:szCs w:val="24"/>
          <w:lang w:bidi="ar-SA" w:eastAsia="en-US" w:val="mn-MN"/>
        </w:rPr>
        <w:t xml:space="preserve">Н.Ариунболд, </w:t>
      </w:r>
      <w:r>
        <w:rPr>
          <w:rFonts w:ascii="Arial" w:cs="Arial" w:hAnsi="Arial"/>
          <w:sz w:val="24"/>
          <w:szCs w:val="24"/>
          <w:lang w:val="mn-MN"/>
        </w:rPr>
        <w:t>Стратегийн бодло</w:t>
      </w:r>
      <w:bookmarkStart w:id="2" w:name="__DdeLink__309_1132679750"/>
      <w:r>
        <w:rPr>
          <w:rFonts w:ascii="Arial" w:cs="Arial" w:hAnsi="Arial"/>
          <w:sz w:val="24"/>
          <w:szCs w:val="24"/>
          <w:lang w:val="mn-MN"/>
        </w:rPr>
        <w:t>го</w:t>
      </w:r>
      <w:bookmarkEnd w:id="2"/>
      <w:r>
        <w:rPr>
          <w:rFonts w:ascii="Arial" w:cs="Arial" w:hAnsi="Arial"/>
          <w:sz w:val="24"/>
          <w:szCs w:val="24"/>
          <w:lang w:val="mn-MN"/>
        </w:rPr>
        <w:t>, төлөвлөлтийн  газрын дарга Л.Чой-Иш</w:t>
      </w:r>
      <w:r>
        <w:rPr>
          <w:rFonts w:ascii="Arial" w:cs="Arial" w:hAnsi="Arial"/>
          <w:b/>
          <w:sz w:val="24"/>
          <w:szCs w:val="24"/>
          <w:lang w:val="mn-MN"/>
        </w:rPr>
        <w:t xml:space="preserve">, </w:t>
      </w:r>
      <w:r>
        <w:rPr>
          <w:rFonts w:ascii="Arial" w:cs="Arial" w:hAnsi="Arial"/>
          <w:b w:val="false"/>
          <w:bCs w:val="false"/>
          <w:sz w:val="24"/>
          <w:szCs w:val="24"/>
          <w:lang w:val="mn-MN"/>
        </w:rPr>
        <w:t xml:space="preserve">Стратегийн бодлого, </w:t>
      </w:r>
      <w:r>
        <w:rPr>
          <w:rFonts w:ascii="Arial" w:cs="Arial" w:eastAsia="Times New Roman" w:hAnsi="Arial"/>
          <w:b w:val="false"/>
          <w:bCs w:val="false"/>
          <w:sz w:val="24"/>
          <w:szCs w:val="24"/>
          <w:lang w:bidi="ar-SA" w:eastAsia="en-US" w:val="mn-MN"/>
        </w:rPr>
        <w:t xml:space="preserve">төлөвлөлтийн  газрын ахлах шинжээч, эрх зүйч </w:t>
      </w:r>
      <w:r>
        <w:rPr>
          <w:rFonts w:ascii="Arial" w:cs="Arial" w:hAnsi="Arial"/>
          <w:sz w:val="24"/>
          <w:szCs w:val="24"/>
          <w:lang w:val="mn-MN"/>
        </w:rPr>
        <w:t>Б.Алтанцэцэг, мэргэжилтэн Н.Даваацэрэн, Э.Давааням,</w:t>
      </w:r>
      <w:r>
        <w:rPr>
          <w:rFonts w:ascii="Arial" w:cs="Arial" w:eastAsia="Times New Roman" w:hAnsi="Arial"/>
          <w:sz w:val="24"/>
          <w:szCs w:val="24"/>
          <w:lang w:bidi="ar-SA" w:eastAsia="en-US" w:val="mn-MN"/>
        </w:rPr>
        <w:t xml:space="preserve"> </w:t>
      </w:r>
      <w:r>
        <w:rPr>
          <w:rFonts w:cs="Arial" w:eastAsia="Times New Roman"/>
          <w:sz w:val="24"/>
          <w:szCs w:val="24"/>
          <w:lang w:bidi="ar-SA" w:eastAsia="en-US" w:val="mn-MN"/>
        </w:rPr>
        <w:t xml:space="preserve">Монголын тариаланчид, гурил үйлдвэрлэгчдийн холбооны </w:t>
      </w:r>
      <w:r>
        <w:rPr>
          <w:rFonts w:cs="Arial"/>
          <w:sz w:val="24"/>
          <w:szCs w:val="24"/>
          <w:lang w:val="mn-MN"/>
        </w:rPr>
        <w:t xml:space="preserve">тэргүүн </w:t>
      </w:r>
      <w:r>
        <w:rPr>
          <w:rFonts w:cs="Arial" w:eastAsia="Times New Roman"/>
          <w:sz w:val="24"/>
          <w:szCs w:val="24"/>
          <w:lang w:bidi="ar-SA" w:eastAsia="en-US" w:val="mn-MN"/>
        </w:rPr>
        <w:t xml:space="preserve">Ш.Гунгаадорж, Монголын малчдын нэгдсэн холбооны ерөнхий нарийн бичгийн дарга Б.Мяхдадаг, </w:t>
      </w:r>
      <w:r>
        <w:rPr>
          <w:rFonts w:cs="Arial" w:eastAsia="Times New Roman"/>
          <w:lang w:bidi="ar-SA" w:eastAsia="en-US"/>
        </w:rPr>
        <w:t>Байнгын хорооны</w:t>
      </w:r>
      <w:r>
        <w:rPr>
          <w:rFonts w:cs="Arial"/>
        </w:rPr>
        <w:t xml:space="preserve"> </w:t>
      </w:r>
      <w:r>
        <w:rPr>
          <w:rFonts w:cs="Arial"/>
          <w:lang w:val="mn-MN"/>
        </w:rPr>
        <w:t xml:space="preserve"> зөвлөх Б.Баярмаа, р</w:t>
      </w:r>
      <w:r>
        <w:rPr>
          <w:rFonts w:cs="Arial"/>
        </w:rPr>
        <w:t xml:space="preserve">еферент </w:t>
      </w:r>
      <w:r>
        <w:rPr>
          <w:rFonts w:cs="Arial"/>
          <w:lang w:val="mn-MN"/>
        </w:rPr>
        <w:t>З.Оюунсүрэн</w:t>
      </w:r>
      <w:r>
        <w:rPr>
          <w:rFonts w:cs="Arial" w:eastAsia="Times New Roman"/>
          <w:lang w:bidi="ar-SA" w:eastAsia="en-US" w:val="mn-MN"/>
        </w:rPr>
        <w:t xml:space="preserve"> </w:t>
      </w:r>
      <w:r>
        <w:rPr>
          <w:rFonts w:cs="Arial" w:eastAsia="Times New Roman"/>
          <w:lang w:bidi="ar-SA" w:eastAsia="en-US"/>
        </w:rPr>
        <w:t xml:space="preserve"> </w:t>
      </w:r>
      <w:r>
        <w:rPr>
          <w:rFonts w:cs="Arial" w:eastAsia="Times New Roman"/>
          <w:lang w:bidi="ar-SA" w:eastAsia="en-US" w:val="mn-MN"/>
        </w:rPr>
        <w:t xml:space="preserve">нар </w:t>
      </w:r>
      <w:r>
        <w:rPr>
          <w:rFonts w:cs="Arial" w:eastAsia="Times New Roman"/>
          <w:lang w:bidi="ar-SA" w:eastAsia="en-US"/>
        </w:rPr>
        <w:t xml:space="preserve"> оролцлоо.</w:t>
      </w:r>
    </w:p>
    <w:p>
      <w:pPr>
        <w:pStyle w:val="style0"/>
        <w:ind w:hanging="0" w:left="0" w:right="0"/>
        <w:jc w:val="both"/>
      </w:pPr>
      <w:r>
        <w:rPr>
          <w:rFonts w:cs="Arial" w:eastAsia="Times New Roman"/>
          <w:lang w:bidi="ar-SA" w:eastAsia="en-US" w:val="mn-MN"/>
        </w:rPr>
        <w:tab/>
        <w:t xml:space="preserve">Хуралдаанаар 2015 оны 06-р сарын 25-ны өдрийн чуулганы нэгдсэн хуралдаанаар хэлэлцэх эсэхийг нь шийдвэрлэсэн </w:t>
      </w:r>
      <w:r>
        <w:rPr>
          <w:rFonts w:cs="Arial" w:eastAsia="Times New Roman"/>
          <w:sz w:val="24"/>
          <w:szCs w:val="24"/>
          <w:lang w:bidi="ar-SA" w:eastAsia="en-US" w:val="mn-MN"/>
        </w:rPr>
        <w:t xml:space="preserve">“Төрөөс хүнс, хөдөө аж ахуйн талаар баримтлах бодлого батлах тухай” болон “Халх гол” чөлөөт бүс байгуулах тухай Улсын Их Хурлын тогтоолын төслүүдийг Улсын Их Хурлын даргаас чиглэл болгосны дагуу нэгтгэж хэлэлцэх эсвэл тус, тусад нь салгаж хэлэлцэх эсэх асуудлыг ярилцаж хуралдаанд оролцсон гишүүдийн олонхийн саналаар салгаж хэлэлцэх нь зүйтэй гэж үзлээ. </w:t>
      </w:r>
    </w:p>
    <w:p>
      <w:pPr>
        <w:pStyle w:val="style0"/>
        <w:ind w:hanging="0" w:left="0" w:right="0"/>
        <w:jc w:val="both"/>
      </w:pPr>
      <w:r>
        <w:rPr>
          <w:rFonts w:cs="Arial" w:eastAsia="Times New Roman"/>
          <w:sz w:val="24"/>
          <w:szCs w:val="24"/>
          <w:lang w:bidi="ar-SA" w:eastAsia="en-US" w:val="mn-MN"/>
        </w:rPr>
        <w:tab/>
        <w:t xml:space="preserve">“Халх гол” чөлөөт бүс байгуулах тухай Улсын Их Хурлын тогтоолын төсөлтэй холбогдуулан Улсын Их Хурлын гишүүн С.Дэмбэрэл экспортын баримжаатай хөдөө аж ахуй эрхлэхэд тулгамдаж буй асуудлууд нь энэ тогтоолыг салгаж хэлэлцэх үндэслэл нь болж байгааг дурьдаад үүнд мал, амьтны халдварт өвчнөөр тайван статус авах, зорилтот зах зээл болох улсуудтай хорио цээрийн хэлэлцээр хийх, гадаад дотоодын  хөрөнгө оруулалтыг нэмэгдүүлэх, Халх гол нь Монгол Улсын хөдөө аж ахуйн үүц газар мөн учир тус бүс нутгийг хамгаалах гэх мэт асуудлуудыг Улсын Их Хурлын тогтоолын төслийн үндэслэлд оруулж тодорхой болгох, түүнчлэн хууль бусаар олгогдсон газруудын хэмжээг нь тогтоож, газрын асуудалтай холбоотой маргааныг шийдвэрлэх, тогтоолын төслийн нэрийг хөдөө аж ахуйн тогтвортой хөгжлийг хангахаар чөлөөт бүс байгуулж байгаа гэсэн утгаар томьёолж оруулж ирэх гэсэн саналыг, Улсын Их Хурлын гишүүн А.Бакей тогтоолын төслийг боловсронгуй болгож, сайжруулах зарим тодорхой бус зүйлүүдийг тодорхой болгох, хууль зөрчсөн асуудлуудтай холбоотой мэдээлэл, лавлагааг холбогдох байгууллагуудаас нь гаргуулж авах гэсэн саналыг, Улсын Их Хурлын гишүүн Ц.Дашдорж чөлөөт бүс байгуулахад хөрөнгө оруулалтын бодлого, татварын хөнгөлөлт чөлөөлөлтийн асуудал ямар байх, газар зохион байгуулалтын асуудал нь холбогдох бусад  хууль тогтоомжтойгоо хэрхэн нийцэж байгаа гэх мэт олон асуудлыг судалж тогтоолын төслийг боловсруулах нь зүйтэй гэсэн саналуудыг тус тус хэллээ.  </w:t>
      </w:r>
    </w:p>
    <w:p>
      <w:pPr>
        <w:pStyle w:val="style0"/>
        <w:jc w:val="both"/>
      </w:pPr>
      <w:r>
        <w:rPr/>
        <w:tab/>
        <w:t xml:space="preserve">Ажлын хэсгийн ахлагч Су.Батболд тогтоолын төслийн боловсруулалтанд анхаарч ажиллах, төслийн нэрийг хөдөө аж ахуй хорио цээрийн Халх гол чөлөөт бүс гэсэн утгаар томьёолох гэсэн саналыг хэлээд, тогтоолын төслийн хэрэгжилтэнд хяналт тавих заалтыг төсөлд тусгах, хууль бусаар олгогдсон газруудыг цэгцлэх асуудлаар Засгийн газарт үүрэг өгөх асуудлыг боловсруулах, Чөлөөт бүсийн дүрэм, үйл ажиллагааны зорилго, чиглэл нь ямар байх гэх мэт асуудлуудыг тодорхой болгож дараагийн ажлын хэсэгт оруулж ирэхийг ажлын дэд хэсгийн ахлагчид </w:t>
      </w:r>
      <w:r>
        <w:rPr>
          <w:lang w:val="mn-MN"/>
        </w:rPr>
        <w:t>үүрэг болгов.</w:t>
      </w:r>
    </w:p>
    <w:p>
      <w:pPr>
        <w:pStyle w:val="style0"/>
        <w:spacing w:after="0" w:before="0"/>
        <w:ind w:hanging="0" w:left="0" w:right="0"/>
        <w:jc w:val="both"/>
      </w:pPr>
      <w:r>
        <w:rPr/>
      </w:r>
    </w:p>
    <w:p>
      <w:pPr>
        <w:pStyle w:val="style0"/>
        <w:spacing w:after="0" w:before="0"/>
        <w:ind w:hanging="0" w:left="0" w:right="0"/>
        <w:jc w:val="both"/>
      </w:pPr>
      <w:r>
        <w:rPr>
          <w:rFonts w:cs="Arial" w:eastAsia="Times New Roman"/>
          <w:sz w:val="24"/>
          <w:szCs w:val="24"/>
          <w:lang w:bidi="ar-SA" w:eastAsia="en-US" w:val="mn-MN"/>
        </w:rPr>
        <w:t>Хуралдаан 18.30 цагт өндөрлөв.</w:t>
      </w:r>
    </w:p>
    <w:p>
      <w:pPr>
        <w:pStyle w:val="style0"/>
        <w:ind w:hanging="0" w:left="0" w:right="0"/>
        <w:jc w:val="both"/>
      </w:pPr>
      <w:r>
        <w:rPr/>
      </w:r>
    </w:p>
    <w:p>
      <w:pPr>
        <w:pStyle w:val="style0"/>
        <w:ind w:hanging="0" w:left="0" w:right="0"/>
        <w:jc w:val="both"/>
      </w:pPr>
      <w:r>
        <w:rPr/>
      </w:r>
    </w:p>
    <w:p>
      <w:pPr>
        <w:pStyle w:val="style0"/>
        <w:spacing w:after="0" w:before="0"/>
        <w:jc w:val="center"/>
      </w:pPr>
      <w:r>
        <w:rPr>
          <w:rFonts w:cs="Arial"/>
          <w:lang w:val="mn-MN"/>
        </w:rPr>
        <w:t xml:space="preserve"> </w:t>
      </w:r>
      <w:r>
        <w:rPr/>
        <w:t>БАЙНГЫН ХОРООНЫ АЖЛЫН АЛБА</w:t>
      </w:r>
    </w:p>
    <w:p>
      <w:pPr>
        <w:pStyle w:val="style25"/>
        <w:spacing w:after="0" w:before="0"/>
        <w:ind w:hanging="0" w:left="0" w:right="0"/>
        <w:jc w:val="both"/>
      </w:pPr>
      <w:r>
        <w:rPr>
          <w:rFonts w:ascii="Arial" w:cs="Arial" w:hAnsi="Arial"/>
          <w:sz w:val="24"/>
          <w:szCs w:val="24"/>
          <w:lang w:val="mn-MN"/>
        </w:rPr>
        <w:t xml:space="preserve">                                 </w:t>
      </w:r>
    </w:p>
    <w:p>
      <w:pPr>
        <w:pStyle w:val="style25"/>
        <w:jc w:val="both"/>
      </w:pPr>
      <w:r>
        <w:rPr/>
      </w:r>
    </w:p>
    <w:p>
      <w:pPr>
        <w:pStyle w:val="style0"/>
        <w:widowControl/>
        <w:suppressAutoHyphens w:val="false"/>
        <w:spacing w:after="0" w:before="0"/>
        <w:jc w:val="both"/>
      </w:pPr>
      <w:r>
        <w:rPr/>
      </w:r>
    </w:p>
    <w:p>
      <w:pPr>
        <w:pStyle w:val="style0"/>
        <w:widowControl/>
        <w:suppressAutoHyphens w:val="false"/>
        <w:spacing w:after="0" w:before="0"/>
        <w:jc w:val="both"/>
      </w:pPr>
      <w:r>
        <w:rPr/>
      </w:r>
    </w:p>
    <w:p>
      <w:pPr>
        <w:pStyle w:val="style0"/>
        <w:widowControl/>
        <w:suppressAutoHyphens w:val="false"/>
        <w:spacing w:after="0" w:before="0"/>
        <w:jc w:val="both"/>
      </w:pPr>
      <w:r>
        <w:rPr/>
      </w:r>
    </w:p>
    <w:p>
      <w:pPr>
        <w:pStyle w:val="style0"/>
        <w:widowControl/>
        <w:suppressAutoHyphens w:val="false"/>
        <w:spacing w:after="0" w:before="0"/>
        <w:jc w:val="both"/>
      </w:pPr>
      <w:r>
        <w:rPr/>
      </w:r>
    </w:p>
    <w:p>
      <w:pPr>
        <w:pStyle w:val="style0"/>
        <w:widowControl/>
        <w:suppressAutoHyphens w:val="false"/>
        <w:spacing w:after="0" w:before="0"/>
        <w:jc w:val="both"/>
      </w:pPr>
      <w:r>
        <w:rPr/>
      </w:r>
    </w:p>
    <w:sectPr>
      <w:type w:val="nextPage"/>
      <w:pgSz w:h="15840" w:w="12240"/>
      <w:pgMar w:bottom="1134" w:footer="0" w:gutter="0" w:header="0" w:left="1134" w:right="1134" w:top="1134"/>
      <w:pgNumType w:fmt="decimal"/>
      <w:formProt w:val="false"/>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swiss"/>
    <w:pitch w:val="default"/>
  </w:font>
</w:fonts>
</file>

<file path=word/styles.xml><?xml version="1.0" encoding="utf-8"?>
<w:styles xmlns:w="http://schemas.openxmlformats.org/wordprocessingml/2006/main">
  <w:style w:styleId="style0" w:type="paragraph">
    <w:name w:val="Normal"/>
    <w:next w:val="style0"/>
    <w:pPr>
      <w:widowControl w:val="false"/>
      <w:tabs>
        <w:tab w:leader="none" w:pos="420" w:val="left"/>
      </w:tabs>
      <w:suppressAutoHyphens w:val="true"/>
      <w:spacing w:after="200" w:before="0" w:line="276" w:lineRule="auto"/>
    </w:pPr>
    <w:rPr>
      <w:rFonts w:ascii="Arial" w:cs="Mangal" w:eastAsia="Arial" w:hAnsi="Arial"/>
      <w:color w:val="00000A"/>
      <w:sz w:val="24"/>
      <w:szCs w:val="24"/>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pPr>
    <w:rPr>
      <w:rFonts w:ascii="Arial" w:cs="Lohit Hindi" w:eastAsia="Droid Sans Fallback" w:hAnsi="Arial"/>
      <w:sz w:val="28"/>
      <w:szCs w:val="28"/>
    </w:rPr>
  </w:style>
  <w:style w:styleId="style17" w:type="paragraph">
    <w:name w:val="Text body"/>
    <w:basedOn w:val="style0"/>
    <w:next w:val="style17"/>
    <w:pPr>
      <w:spacing w:after="120" w:before="0"/>
    </w:pPr>
    <w:rPr/>
  </w:style>
  <w:style w:styleId="style18" w:type="paragraph">
    <w:name w:val="List"/>
    <w:basedOn w:val="style17"/>
    <w:next w:val="style18"/>
    <w:pPr/>
    <w:rPr>
      <w:rFonts w:ascii="Arial" w:cs="Lohit Hindi" w:hAnsi="Arial"/>
    </w:rPr>
  </w:style>
  <w:style w:styleId="style19" w:type="paragraph">
    <w:name w:val="Caption"/>
    <w:basedOn w:val="style0"/>
    <w:next w:val="style19"/>
    <w:pPr>
      <w:suppressLineNumbers/>
      <w:spacing w:after="120" w:before="120"/>
    </w:pPr>
    <w:rPr>
      <w:rFonts w:ascii="Arial" w:cs="Lohit Hindi" w:hAnsi="Arial"/>
      <w:i/>
      <w:iCs/>
      <w:sz w:val="24"/>
      <w:szCs w:val="24"/>
    </w:rPr>
  </w:style>
  <w:style w:styleId="style20" w:type="paragraph">
    <w:name w:val="Index"/>
    <w:basedOn w:val="style0"/>
    <w:next w:val="style20"/>
    <w:pPr>
      <w:suppressLineNumbers/>
    </w:pPr>
    <w:rPr>
      <w:rFonts w:ascii="Arial" w:cs="Lohit Hindi" w:hAnsi="Arial"/>
    </w:rPr>
  </w:style>
  <w:style w:styleId="style21" w:type="paragraph">
    <w:name w:val="caption"/>
    <w:basedOn w:val="style0"/>
    <w:next w:val="style21"/>
    <w:pPr>
      <w:suppressLineNumbers/>
      <w:spacing w:after="120" w:before="120"/>
    </w:pPr>
    <w:rPr>
      <w:i/>
      <w:iCs/>
    </w:rPr>
  </w:style>
  <w:style w:styleId="style22" w:type="paragraph">
    <w:name w:val="Table Contents"/>
    <w:basedOn w:val="style0"/>
    <w:next w:val="style22"/>
    <w:pPr>
      <w:suppressLineNumbers/>
    </w:pPr>
    <w:rPr/>
  </w:style>
  <w:style w:styleId="style23" w:type="paragraph">
    <w:name w:val="Table Heading"/>
    <w:basedOn w:val="style22"/>
    <w:next w:val="style23"/>
    <w:pPr>
      <w:suppressLineNumbers/>
      <w:jc w:val="center"/>
    </w:pPr>
    <w:rPr>
      <w:b/>
      <w:bCs/>
    </w:rPr>
  </w:style>
  <w:style w:styleId="style24" w:type="paragraph">
    <w:name w:val="western"/>
    <w:basedOn w:val="style0"/>
    <w:next w:val="style24"/>
    <w:pPr>
      <w:widowControl/>
      <w:suppressAutoHyphens w:val="false"/>
      <w:spacing w:after="28" w:before="28" w:line="100" w:lineRule="atLeast"/>
    </w:pPr>
    <w:rPr>
      <w:rFonts w:ascii="Times New Roman" w:cs="Times New Roman" w:eastAsia="Times New Roman" w:hAnsi="Times New Roman"/>
      <w:lang w:bidi="ar-SA" w:eastAsia="en-US"/>
    </w:rPr>
  </w:style>
  <w:style w:styleId="style25" w:type="paragraph">
    <w:name w:val="List Paragraph"/>
    <w:basedOn w:val="style0"/>
    <w:next w:val="style25"/>
    <w:pPr>
      <w:widowControl/>
      <w:suppressAutoHyphens w:val="false"/>
      <w:ind w:hanging="0" w:left="720" w:right="0"/>
    </w:pPr>
    <w:rPr>
      <w:rFonts w:ascii="Calibri" w:cs="" w:hAnsi="Calibri"/>
      <w:sz w:val="22"/>
      <w:szCs w:val="22"/>
      <w:lang w:bidi="ar-SA"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594</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2013-12-06T14:21:00.00Z</dcterms:created>
  <cp:lastModifiedBy>User</cp:lastModifiedBy>
  <cp:lastPrinted>2015-07-03T13:30:21.00Z</cp:lastPrinted>
  <dcterms:modified xsi:type="dcterms:W3CDTF">2014-01-27T09:06:00.00Z</dcterms:modified>
  <cp:revision>29</cp:revision>
</cp:coreProperties>
</file>