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672A5A6B"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262E56">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262E56">
        <w:rPr>
          <w:rFonts w:ascii="Arial" w:hAnsi="Arial" w:cs="Arial"/>
          <w:color w:val="3366FF"/>
          <w:sz w:val="20"/>
          <w:szCs w:val="20"/>
          <w:u w:val="single"/>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16CAD9E" w:rsidR="006B4A52" w:rsidRDefault="006B4A52" w:rsidP="006B4A52">
      <w:pPr>
        <w:pStyle w:val="Heading1"/>
        <w:jc w:val="left"/>
      </w:pPr>
    </w:p>
    <w:p w14:paraId="06563F1F" w14:textId="77777777" w:rsidR="00262E56" w:rsidRDefault="00262E56" w:rsidP="00262E56">
      <w:pPr>
        <w:jc w:val="center"/>
        <w:rPr>
          <w:rFonts w:ascii="Arial" w:hAnsi="Arial" w:cs="Arial"/>
          <w:b/>
          <w:noProof/>
          <w:color w:val="000000" w:themeColor="text1"/>
        </w:rPr>
      </w:pPr>
    </w:p>
    <w:p w14:paraId="0649D9A2" w14:textId="77777777" w:rsidR="009B3C21" w:rsidRPr="00A75C82" w:rsidRDefault="00262E56" w:rsidP="009B3C21">
      <w:pPr>
        <w:jc w:val="center"/>
        <w:rPr>
          <w:rFonts w:ascii="Arial" w:hAnsi="Arial" w:cs="Arial"/>
          <w:b/>
          <w:bCs/>
          <w:noProof/>
          <w:color w:val="000000" w:themeColor="text1"/>
        </w:rPr>
      </w:pPr>
      <w:r w:rsidRPr="00A75C82">
        <w:rPr>
          <w:rFonts w:ascii="Arial" w:hAnsi="Arial" w:cs="Arial"/>
          <w:b/>
          <w:noProof/>
          <w:color w:val="000000" w:themeColor="text1"/>
        </w:rPr>
        <w:t xml:space="preserve">     </w:t>
      </w:r>
      <w:r w:rsidR="009B3C21" w:rsidRPr="00A75C82">
        <w:rPr>
          <w:rFonts w:ascii="Arial" w:hAnsi="Arial" w:cs="Arial"/>
          <w:b/>
          <w:bCs/>
          <w:noProof/>
          <w:color w:val="000000" w:themeColor="text1"/>
        </w:rPr>
        <w:t>АЖ АХУЙН НЭГЖИЙН ОРЛОГЫН АЛБАН</w:t>
      </w:r>
    </w:p>
    <w:p w14:paraId="5A2EDC4A" w14:textId="42F7FC19" w:rsidR="009B3C21" w:rsidRPr="00A75C82" w:rsidRDefault="009B3C21" w:rsidP="009B3C21">
      <w:pPr>
        <w:jc w:val="center"/>
        <w:rPr>
          <w:rFonts w:ascii="Arial" w:hAnsi="Arial" w:cs="Arial"/>
          <w:b/>
          <w:bCs/>
          <w:noProof/>
          <w:color w:val="000000" w:themeColor="text1"/>
        </w:rPr>
      </w:pPr>
      <w:r w:rsidRPr="00A75C82">
        <w:rPr>
          <w:rFonts w:ascii="Arial" w:hAnsi="Arial" w:cs="Arial"/>
          <w:b/>
          <w:bCs/>
          <w:noProof/>
          <w:color w:val="000000" w:themeColor="text1"/>
        </w:rPr>
        <w:t xml:space="preserve">   </w:t>
      </w:r>
      <w:r>
        <w:rPr>
          <w:rFonts w:ascii="Arial" w:hAnsi="Arial" w:cs="Arial"/>
          <w:b/>
          <w:bCs/>
          <w:noProof/>
          <w:color w:val="000000" w:themeColor="text1"/>
        </w:rPr>
        <w:t xml:space="preserve">   </w:t>
      </w:r>
      <w:r w:rsidRPr="00A75C82">
        <w:rPr>
          <w:rFonts w:ascii="Arial" w:hAnsi="Arial" w:cs="Arial"/>
          <w:b/>
          <w:bCs/>
          <w:noProof/>
          <w:color w:val="000000" w:themeColor="text1"/>
        </w:rPr>
        <w:t>ТАТВАРЫН ТУХАЙ ХУУЛЬД НЭМЭЛТ,</w:t>
      </w:r>
    </w:p>
    <w:p w14:paraId="52C5E4D0" w14:textId="14E43F45" w:rsidR="009B3C21" w:rsidRPr="00A75C82" w:rsidRDefault="009B3C21" w:rsidP="009B3C21">
      <w:pPr>
        <w:jc w:val="center"/>
        <w:rPr>
          <w:rFonts w:ascii="Arial" w:hAnsi="Arial" w:cs="Arial"/>
          <w:b/>
          <w:bCs/>
          <w:noProof/>
          <w:color w:val="000000" w:themeColor="text1"/>
        </w:rPr>
      </w:pPr>
      <w:r w:rsidRPr="00A75C82">
        <w:rPr>
          <w:rFonts w:ascii="Arial" w:hAnsi="Arial" w:cs="Arial"/>
          <w:b/>
          <w:bCs/>
          <w:noProof/>
          <w:color w:val="000000" w:themeColor="text1"/>
        </w:rPr>
        <w:t xml:space="preserve">   </w:t>
      </w:r>
      <w:r>
        <w:rPr>
          <w:rFonts w:ascii="Arial" w:hAnsi="Arial" w:cs="Arial"/>
          <w:b/>
          <w:bCs/>
          <w:noProof/>
          <w:color w:val="000000" w:themeColor="text1"/>
        </w:rPr>
        <w:t xml:space="preserve">  </w:t>
      </w:r>
      <w:r w:rsidRPr="00A75C82">
        <w:rPr>
          <w:rFonts w:ascii="Arial" w:hAnsi="Arial" w:cs="Arial"/>
          <w:b/>
          <w:bCs/>
          <w:noProof/>
          <w:color w:val="000000" w:themeColor="text1"/>
        </w:rPr>
        <w:t>ӨӨРЧЛӨЛТ ОРУУЛАХ ТУХАЙ</w:t>
      </w:r>
    </w:p>
    <w:p w14:paraId="0CE7E8EA" w14:textId="77777777" w:rsidR="009B3C21" w:rsidRPr="00A75C82" w:rsidRDefault="009B3C21" w:rsidP="009B3C21">
      <w:pPr>
        <w:spacing w:line="360" w:lineRule="auto"/>
        <w:ind w:firstLine="720"/>
        <w:jc w:val="center"/>
        <w:rPr>
          <w:rFonts w:ascii="Arial" w:hAnsi="Arial" w:cs="Arial"/>
          <w:bCs/>
          <w:noProof/>
          <w:color w:val="000000" w:themeColor="text1"/>
        </w:rPr>
      </w:pPr>
    </w:p>
    <w:p w14:paraId="37DF1B52" w14:textId="77777777" w:rsidR="009B3C21" w:rsidRPr="00A75C82" w:rsidRDefault="009B3C21" w:rsidP="009B3C21">
      <w:pPr>
        <w:ind w:firstLine="720"/>
        <w:jc w:val="both"/>
        <w:rPr>
          <w:rFonts w:ascii="Arial" w:eastAsiaTheme="minorEastAsia" w:hAnsi="Arial" w:cs="Arial"/>
          <w:color w:val="000000" w:themeColor="text1"/>
        </w:rPr>
      </w:pPr>
      <w:r w:rsidRPr="00A75C82">
        <w:rPr>
          <w:rFonts w:ascii="Arial" w:hAnsi="Arial" w:cs="Arial"/>
          <w:b/>
          <w:bCs/>
          <w:noProof/>
          <w:color w:val="000000" w:themeColor="text1"/>
          <w:shd w:val="clear" w:color="auto" w:fill="FFFFFF"/>
        </w:rPr>
        <w:t>1 дүгээр зүйл.</w:t>
      </w:r>
      <w:r w:rsidRPr="00A75C82">
        <w:rPr>
          <w:rFonts w:ascii="Arial" w:hAnsi="Arial" w:cs="Arial"/>
          <w:noProof/>
          <w:color w:val="000000" w:themeColor="text1"/>
        </w:rPr>
        <w:t>Аж ахуйн нэгжийн орлогын албан татварын тухай хуульд доор дурдсан агуулгатай дараах хэсэг, заалт нэмсүгэй:</w:t>
      </w:r>
    </w:p>
    <w:p w14:paraId="0527E91E" w14:textId="77777777" w:rsidR="009B3C21" w:rsidRPr="00A75C82" w:rsidRDefault="009B3C21" w:rsidP="009B3C21">
      <w:pPr>
        <w:jc w:val="both"/>
        <w:rPr>
          <w:rFonts w:ascii="Arial" w:hAnsi="Arial" w:cs="Arial"/>
          <w:noProof/>
          <w:color w:val="000000" w:themeColor="text1"/>
        </w:rPr>
      </w:pPr>
    </w:p>
    <w:p w14:paraId="6726CC95" w14:textId="77777777" w:rsidR="009B3C21" w:rsidRPr="00A75C82" w:rsidRDefault="009B3C21" w:rsidP="009B3C21">
      <w:pPr>
        <w:ind w:left="720" w:firstLine="698"/>
        <w:jc w:val="both"/>
        <w:rPr>
          <w:rFonts w:ascii="Arial" w:hAnsi="Arial" w:cs="Arial"/>
          <w:b/>
          <w:bCs/>
          <w:noProof/>
          <w:color w:val="000000" w:themeColor="text1"/>
        </w:rPr>
      </w:pPr>
      <w:r w:rsidRPr="00A75C82">
        <w:rPr>
          <w:rFonts w:ascii="Arial" w:hAnsi="Arial" w:cs="Arial"/>
          <w:b/>
          <w:bCs/>
          <w:noProof/>
          <w:color w:val="000000" w:themeColor="text1"/>
        </w:rPr>
        <w:t>1/21 дүгээр зүйлийн 21.1.16 дахь заалт:</w:t>
      </w:r>
    </w:p>
    <w:p w14:paraId="5683622B" w14:textId="77777777" w:rsidR="009B3C21" w:rsidRPr="00A75C82" w:rsidRDefault="009B3C21" w:rsidP="009B3C21">
      <w:pPr>
        <w:ind w:left="720" w:firstLine="720"/>
        <w:jc w:val="both"/>
        <w:rPr>
          <w:rFonts w:ascii="Arial" w:hAnsi="Arial" w:cs="Arial"/>
          <w:b/>
          <w:bCs/>
          <w:noProof/>
          <w:color w:val="000000" w:themeColor="text1"/>
        </w:rPr>
      </w:pPr>
    </w:p>
    <w:p w14:paraId="0959F6FF" w14:textId="77777777" w:rsidR="009B3C21" w:rsidRPr="00A75C82" w:rsidRDefault="009B3C21" w:rsidP="009B3C21">
      <w:pPr>
        <w:pStyle w:val="ListParagraph"/>
        <w:spacing w:after="0" w:line="240" w:lineRule="auto"/>
        <w:ind w:left="0" w:firstLine="1418"/>
        <w:contextualSpacing w:val="0"/>
        <w:jc w:val="both"/>
        <w:rPr>
          <w:rFonts w:ascii="Arial" w:eastAsia="Arial" w:hAnsi="Arial" w:cs="Arial"/>
          <w:color w:val="000000" w:themeColor="text1"/>
          <w:sz w:val="24"/>
          <w:szCs w:val="24"/>
          <w:rtl/>
          <w:cs/>
          <w:lang w:val="mn-MN"/>
        </w:rPr>
      </w:pPr>
      <w:r w:rsidRPr="00A75C82">
        <w:rPr>
          <w:rFonts w:ascii="Arial" w:eastAsia="Arial" w:hAnsi="Arial" w:cs="Arial"/>
          <w:color w:val="000000" w:themeColor="text1"/>
          <w:lang w:val="mn-MN"/>
        </w:rPr>
        <w:t>“</w:t>
      </w:r>
      <w:r w:rsidRPr="00A75C82">
        <w:rPr>
          <w:rFonts w:ascii="Arial" w:eastAsia="Arial" w:hAnsi="Arial" w:cs="Arial"/>
          <w:color w:val="000000" w:themeColor="text1"/>
          <w:sz w:val="24"/>
          <w:szCs w:val="24"/>
          <w:lang w:val="mn-MN"/>
        </w:rPr>
        <w:t>21.1.16.</w:t>
      </w:r>
      <w:r w:rsidRPr="00A75C82">
        <w:rPr>
          <w:rFonts w:ascii="Arial" w:hAnsi="Arial" w:cs="Arial"/>
          <w:bCs/>
          <w:noProof/>
          <w:color w:val="000000" w:themeColor="text1"/>
          <w:sz w:val="24"/>
          <w:szCs w:val="24"/>
          <w:lang w:val="mn-MN"/>
        </w:rPr>
        <w:t>Т</w:t>
      </w:r>
      <w:r w:rsidRPr="00A75C82">
        <w:rPr>
          <w:rFonts w:ascii="Arial" w:eastAsia="Arial" w:hAnsi="Arial" w:cs="Arial"/>
          <w:color w:val="000000" w:themeColor="text1"/>
          <w:sz w:val="24"/>
          <w:szCs w:val="24"/>
          <w:lang w:val="mn-MN"/>
        </w:rPr>
        <w:t>өрийн болон орон нутгийн өмчит</w:t>
      </w:r>
      <w:r w:rsidRPr="00A75C82">
        <w:rPr>
          <w:rFonts w:ascii="Arial" w:hAnsi="Arial" w:cs="Arial"/>
          <w:color w:val="000000" w:themeColor="text1"/>
          <w:sz w:val="24"/>
          <w:szCs w:val="24"/>
          <w:lang w:val="mn-MN"/>
        </w:rPr>
        <w:t>, төрийн болон орон нутгийн өмчийн оролцоотой</w:t>
      </w:r>
      <w:r w:rsidRPr="00A75C82">
        <w:rPr>
          <w:rFonts w:ascii="Arial" w:eastAsia="Arial" w:hAnsi="Arial" w:cs="Arial"/>
          <w:color w:val="000000" w:themeColor="text1"/>
          <w:sz w:val="24"/>
          <w:szCs w:val="24"/>
          <w:lang w:val="mn-MN"/>
        </w:rPr>
        <w:t xml:space="preserve"> хуулийн этгээдээс Үндэсний баялгийн сангийн тухай хуулийн 4.1.5-д заасан орлого төвлөрүүлэгч хуулийн этгээдэд ашигт малтмал, цацраг идэвхт ашигт малтмал, газрын тосны хайгуулын болон ашиглалтын тусгай зөвшөөрөл борлуулсан, шилжүүлсний орлого.”</w:t>
      </w:r>
      <w:r w:rsidRPr="00A75C82">
        <w:rPr>
          <w:rFonts w:ascii="Arial" w:eastAsia="Arial" w:hAnsi="Arial" w:cs="Arial" w:hint="cs"/>
          <w:color w:val="000000" w:themeColor="text1"/>
          <w:sz w:val="24"/>
          <w:szCs w:val="24"/>
          <w:rtl/>
          <w:lang w:val="mn-MN"/>
        </w:rPr>
        <w:t xml:space="preserve"> </w:t>
      </w:r>
    </w:p>
    <w:p w14:paraId="5B655347" w14:textId="77777777" w:rsidR="009B3C21" w:rsidRPr="00A75C82" w:rsidRDefault="009B3C21" w:rsidP="009B3C21">
      <w:pPr>
        <w:pStyle w:val="ListParagraph"/>
        <w:spacing w:after="0" w:line="240" w:lineRule="auto"/>
        <w:ind w:left="0" w:firstLine="720"/>
        <w:contextualSpacing w:val="0"/>
        <w:jc w:val="both"/>
        <w:rPr>
          <w:rFonts w:ascii="Arial" w:hAnsi="Arial" w:cs="Arial"/>
          <w:noProof/>
          <w:color w:val="000000" w:themeColor="text1"/>
          <w:sz w:val="24"/>
          <w:szCs w:val="24"/>
          <w:cs/>
          <w:lang w:val="mn-MN"/>
        </w:rPr>
      </w:pPr>
    </w:p>
    <w:p w14:paraId="59389EF0" w14:textId="77777777" w:rsidR="009B3C21" w:rsidRPr="00A75C82" w:rsidRDefault="009B3C21" w:rsidP="009B3C21">
      <w:pPr>
        <w:pStyle w:val="ListParagraph"/>
        <w:spacing w:after="0" w:line="240" w:lineRule="auto"/>
        <w:ind w:firstLine="698"/>
        <w:contextualSpacing w:val="0"/>
        <w:jc w:val="both"/>
        <w:rPr>
          <w:rFonts w:ascii="Arial" w:hAnsi="Arial" w:cs="Arial"/>
          <w:b/>
          <w:bCs/>
          <w:noProof/>
          <w:color w:val="000000" w:themeColor="text1"/>
          <w:sz w:val="24"/>
          <w:szCs w:val="24"/>
          <w:lang w:val="mn-MN"/>
        </w:rPr>
      </w:pPr>
      <w:r w:rsidRPr="00A75C82">
        <w:rPr>
          <w:rFonts w:ascii="Arial" w:hAnsi="Arial" w:cs="Arial"/>
          <w:b/>
          <w:bCs/>
          <w:noProof/>
          <w:color w:val="000000" w:themeColor="text1"/>
          <w:sz w:val="24"/>
          <w:szCs w:val="24"/>
          <w:lang w:val="mn-MN"/>
        </w:rPr>
        <w:t>2/30 дугаар зүйлийн 30.14 дэх хэсэг:</w:t>
      </w:r>
    </w:p>
    <w:p w14:paraId="6C36365A" w14:textId="77777777" w:rsidR="009B3C21" w:rsidRPr="00A75C82" w:rsidRDefault="009B3C21" w:rsidP="009B3C21">
      <w:pPr>
        <w:pStyle w:val="ListParagraph"/>
        <w:spacing w:after="0" w:line="240" w:lineRule="auto"/>
        <w:ind w:firstLine="720"/>
        <w:contextualSpacing w:val="0"/>
        <w:jc w:val="both"/>
        <w:rPr>
          <w:rFonts w:ascii="Arial" w:hAnsi="Arial" w:cs="Arial"/>
          <w:b/>
          <w:bCs/>
          <w:noProof/>
          <w:color w:val="000000" w:themeColor="text1"/>
          <w:sz w:val="24"/>
          <w:szCs w:val="24"/>
          <w:lang w:val="mn-MN"/>
        </w:rPr>
      </w:pPr>
    </w:p>
    <w:p w14:paraId="76CFFA60" w14:textId="77777777" w:rsidR="009B3C21" w:rsidRPr="00A75C82" w:rsidRDefault="009B3C21" w:rsidP="009B3C21">
      <w:pPr>
        <w:ind w:firstLine="720"/>
        <w:jc w:val="both"/>
        <w:textAlignment w:val="baseline"/>
        <w:rPr>
          <w:rFonts w:ascii="Arial" w:eastAsia="Arial" w:hAnsi="Arial" w:cs="Arial"/>
          <w:color w:val="000000" w:themeColor="text1"/>
          <w:cs/>
        </w:rPr>
      </w:pPr>
      <w:r w:rsidRPr="00A75C82">
        <w:rPr>
          <w:rFonts w:ascii="Arial" w:eastAsia="Arial" w:hAnsi="Arial" w:cs="Arial"/>
          <w:color w:val="000000" w:themeColor="text1"/>
        </w:rPr>
        <w:t>“30.14.</w:t>
      </w:r>
      <w:r w:rsidRPr="00A75C82">
        <w:rPr>
          <w:rFonts w:ascii="Arial" w:hAnsi="Arial" w:cs="Arial"/>
          <w:bCs/>
          <w:noProof/>
          <w:color w:val="000000" w:themeColor="text1"/>
        </w:rPr>
        <w:t>Т</w:t>
      </w:r>
      <w:r w:rsidRPr="00A75C82">
        <w:rPr>
          <w:rFonts w:ascii="Arial" w:eastAsia="Arial" w:hAnsi="Arial" w:cs="Arial"/>
          <w:color w:val="000000" w:themeColor="text1"/>
        </w:rPr>
        <w:t>өрийн болон орон нутгийн өмчит</w:t>
      </w:r>
      <w:r w:rsidRPr="00A75C82">
        <w:rPr>
          <w:rFonts w:ascii="Arial" w:hAnsi="Arial" w:cs="Arial"/>
          <w:color w:val="000000" w:themeColor="text1"/>
        </w:rPr>
        <w:t>, төрийн болон орон нутгийн өмчийн оролцоотой</w:t>
      </w:r>
      <w:r w:rsidRPr="00A75C82">
        <w:rPr>
          <w:rFonts w:ascii="Arial" w:eastAsia="Arial" w:hAnsi="Arial" w:cs="Arial"/>
          <w:color w:val="000000" w:themeColor="text1"/>
        </w:rPr>
        <w:t xml:space="preserve"> хуулийн этгээдээс Үндэсний баялгийн сангийн тухай хуулийн 4.1.5-д заасан орлого төвлөрүүлэгч хуулийн этгээдэд ашигт малтмалын тусгай зөвшөөрөл борлуулсан, шилжүүлсэн тохиолдолд энэ зүйлд заасны дагуу албан татвар ногдуулахгүй.”</w:t>
      </w:r>
    </w:p>
    <w:p w14:paraId="23C5336E" w14:textId="77777777" w:rsidR="009B3C21" w:rsidRPr="00A75C82" w:rsidRDefault="009B3C21" w:rsidP="009B3C21">
      <w:pPr>
        <w:ind w:firstLine="720"/>
        <w:jc w:val="both"/>
        <w:textAlignment w:val="baseline"/>
        <w:rPr>
          <w:color w:val="000000" w:themeColor="text1"/>
          <w:cs/>
        </w:rPr>
      </w:pPr>
    </w:p>
    <w:p w14:paraId="5F52D4DB" w14:textId="77777777" w:rsidR="009B3C21" w:rsidRPr="00A75C82" w:rsidRDefault="009B3C21" w:rsidP="009B3C21">
      <w:pPr>
        <w:ind w:firstLine="720"/>
        <w:jc w:val="both"/>
        <w:rPr>
          <w:rFonts w:ascii="Arial" w:hAnsi="Arial" w:cs="Arial"/>
          <w:b/>
          <w:bCs/>
          <w:noProof/>
          <w:color w:val="000000" w:themeColor="text1"/>
        </w:rPr>
      </w:pPr>
      <w:r w:rsidRPr="00A75C82">
        <w:rPr>
          <w:rFonts w:ascii="Arial" w:hAnsi="Arial" w:cs="Arial"/>
          <w:b/>
          <w:bCs/>
          <w:noProof/>
          <w:color w:val="000000" w:themeColor="text1"/>
        </w:rPr>
        <w:t>2 дугаар зүйл.</w:t>
      </w:r>
      <w:r w:rsidRPr="00A75C82">
        <w:rPr>
          <w:rFonts w:ascii="Arial" w:hAnsi="Arial" w:cs="Arial"/>
          <w:noProof/>
          <w:color w:val="000000" w:themeColor="text1"/>
        </w:rPr>
        <w:t xml:space="preserve">Аж ахуйн нэгжийн орлогын албан татварын тухай хуулийн 30 дугаар зүйлийн 30.10 дахь хэсгийг доор дурдсанаар </w:t>
      </w:r>
      <w:r w:rsidRPr="00A75C82">
        <w:rPr>
          <w:rFonts w:ascii="Arial" w:hAnsi="Arial" w:cs="Arial"/>
          <w:bCs/>
          <w:noProof/>
          <w:color w:val="000000" w:themeColor="text1"/>
        </w:rPr>
        <w:t>өөрчлөн найруулсугай</w:t>
      </w:r>
      <w:r w:rsidRPr="00A75C82">
        <w:rPr>
          <w:rFonts w:ascii="Arial" w:hAnsi="Arial" w:cs="Arial"/>
          <w:noProof/>
          <w:color w:val="000000" w:themeColor="text1"/>
        </w:rPr>
        <w:t>:</w:t>
      </w:r>
    </w:p>
    <w:p w14:paraId="07BCC3DB" w14:textId="77777777" w:rsidR="009B3C21" w:rsidRPr="00A75C82" w:rsidRDefault="009B3C21" w:rsidP="009B3C21">
      <w:pPr>
        <w:pStyle w:val="ListParagraph"/>
        <w:tabs>
          <w:tab w:val="left" w:pos="1134"/>
        </w:tabs>
        <w:spacing w:after="0" w:line="240" w:lineRule="auto"/>
        <w:ind w:left="0" w:hanging="283"/>
        <w:jc w:val="both"/>
        <w:rPr>
          <w:rFonts w:ascii="Arial" w:hAnsi="Arial" w:cs="Arial"/>
          <w:noProof/>
          <w:color w:val="000000" w:themeColor="text1"/>
          <w:sz w:val="24"/>
          <w:szCs w:val="24"/>
          <w:lang w:val="mn-MN"/>
        </w:rPr>
      </w:pPr>
    </w:p>
    <w:p w14:paraId="6FB26A6B" w14:textId="77777777" w:rsidR="009B3C21" w:rsidRPr="00A75C82" w:rsidRDefault="009B3C21" w:rsidP="009B3C21">
      <w:pPr>
        <w:ind w:firstLine="720"/>
        <w:jc w:val="both"/>
        <w:textAlignment w:val="baseline"/>
        <w:rPr>
          <w:rFonts w:ascii="Arial" w:eastAsia="Arial" w:hAnsi="Arial" w:cs="Arial"/>
          <w:color w:val="000000" w:themeColor="text1"/>
          <w:rtl/>
          <w:cs/>
        </w:rPr>
      </w:pPr>
      <w:r w:rsidRPr="00A75C82">
        <w:rPr>
          <w:rFonts w:ascii="Arial" w:eastAsia="Arial" w:hAnsi="Arial" w:cs="Arial"/>
          <w:color w:val="000000" w:themeColor="text1"/>
        </w:rPr>
        <w:t>“30.10.Энэ хуулийн 30.4-т заасны дагуу тодорхойлсон албан татвар ногдуулах орлогод дараах хувь хэмжээгээр албан татвар ногдуулна:</w:t>
      </w:r>
      <w:r w:rsidRPr="00A75C82">
        <w:rPr>
          <w:rFonts w:ascii="Arial" w:eastAsia="Arial" w:hAnsi="Arial" w:cs="Arial" w:hint="cs"/>
          <w:color w:val="000000" w:themeColor="text1"/>
          <w:rtl/>
        </w:rPr>
        <w:t xml:space="preserve"> </w:t>
      </w:r>
    </w:p>
    <w:p w14:paraId="2AA97E1D" w14:textId="77777777" w:rsidR="009B3C21" w:rsidRPr="00A75C82" w:rsidRDefault="009B3C21" w:rsidP="009B3C21">
      <w:pPr>
        <w:ind w:firstLine="720"/>
        <w:jc w:val="both"/>
        <w:textAlignment w:val="baseline"/>
        <w:rPr>
          <w:color w:val="000000" w:themeColor="text1"/>
          <w:cs/>
        </w:rPr>
      </w:pPr>
    </w:p>
    <w:p w14:paraId="4357E019" w14:textId="77777777" w:rsidR="009B3C21" w:rsidRPr="00A75C82" w:rsidRDefault="009B3C21" w:rsidP="009B3C21">
      <w:pPr>
        <w:ind w:firstLine="720"/>
        <w:jc w:val="both"/>
        <w:textAlignment w:val="baseline"/>
        <w:rPr>
          <w:color w:val="000000" w:themeColor="text1"/>
        </w:rPr>
      </w:pPr>
      <w:r w:rsidRPr="00A75C82">
        <w:rPr>
          <w:rFonts w:ascii="Arial" w:eastAsia="Arial" w:hAnsi="Arial" w:cs="Arial"/>
          <w:color w:val="000000" w:themeColor="text1"/>
        </w:rPr>
        <w:t xml:space="preserve"> </w:t>
      </w:r>
      <w:r w:rsidRPr="00A75C82">
        <w:rPr>
          <w:rFonts w:ascii="Arial" w:eastAsia="Arial" w:hAnsi="Arial" w:cs="Arial"/>
          <w:color w:val="000000" w:themeColor="text1"/>
        </w:rPr>
        <w:tab/>
        <w:t>30.10.1.</w:t>
      </w:r>
      <w:r w:rsidRPr="00A75C82">
        <w:rPr>
          <w:rFonts w:ascii="Arial" w:hAnsi="Arial" w:cs="Arial"/>
          <w:bCs/>
          <w:noProof/>
          <w:color w:val="000000" w:themeColor="text1"/>
        </w:rPr>
        <w:t>стратегийн ач холбогдол бүхий ашигт малтмалын ордын</w:t>
      </w:r>
      <w:r w:rsidRPr="00A75C82">
        <w:rPr>
          <w:rFonts w:ascii="Arial" w:eastAsia="Arial" w:hAnsi="Arial" w:cs="Arial"/>
          <w:color w:val="000000" w:themeColor="text1"/>
        </w:rPr>
        <w:t xml:space="preserve"> тусгай зөвшөөрөл эзэмшигчийн эцсийн эзэмшигч нь хуулийн этгээдийн хувьцаа, хувь оролцоо, саналын эрхээ бэлэглэх, өв залгамжлалаар өвлүүлэх хэлбэрээр газар эзэмших, ашиглах эрх, ашигт малтмал, цацраг идэвхт ашигт малтмал, газрын тосны хайгуулын болон ашиглалтын тусгай зөвшөөрлийг бүрэн буюу хэсэгчлэн бусдад шилжүүлсэн тохиолдолд 30 хувиар; </w:t>
      </w:r>
    </w:p>
    <w:p w14:paraId="1D3CF673" w14:textId="77777777" w:rsidR="009B3C21" w:rsidRPr="00A75C82" w:rsidRDefault="009B3C21" w:rsidP="009B3C21">
      <w:pPr>
        <w:ind w:firstLine="1440"/>
        <w:jc w:val="both"/>
        <w:textAlignment w:val="baseline"/>
        <w:rPr>
          <w:color w:val="000000" w:themeColor="text1"/>
        </w:rPr>
      </w:pPr>
      <w:r w:rsidRPr="00A75C82">
        <w:rPr>
          <w:rFonts w:ascii="Arial" w:eastAsia="Arial" w:hAnsi="Arial" w:cs="Arial"/>
          <w:color w:val="000000" w:themeColor="text1"/>
        </w:rPr>
        <w:t xml:space="preserve"> </w:t>
      </w:r>
    </w:p>
    <w:p w14:paraId="46C76BAD" w14:textId="77777777" w:rsidR="009B3C21" w:rsidRPr="00A75C82" w:rsidRDefault="009B3C21" w:rsidP="009B3C21">
      <w:pPr>
        <w:ind w:firstLine="1440"/>
        <w:jc w:val="both"/>
        <w:textAlignment w:val="baseline"/>
        <w:rPr>
          <w:rFonts w:ascii="Arial" w:eastAsia="Arial" w:hAnsi="Arial" w:cs="Arial"/>
          <w:color w:val="000000" w:themeColor="text1"/>
          <w:cs/>
        </w:rPr>
      </w:pPr>
      <w:r w:rsidRPr="00A75C82">
        <w:rPr>
          <w:rFonts w:ascii="Arial" w:eastAsia="Arial" w:hAnsi="Arial" w:cs="Arial"/>
          <w:color w:val="000000" w:themeColor="text1"/>
        </w:rPr>
        <w:t>30.10.2.</w:t>
      </w:r>
      <w:r w:rsidRPr="00A75C82">
        <w:rPr>
          <w:rFonts w:ascii="Arial" w:hAnsi="Arial" w:cs="Arial"/>
          <w:bCs/>
          <w:noProof/>
          <w:color w:val="000000" w:themeColor="text1"/>
        </w:rPr>
        <w:t>энэ хуулийн 30.10.1-д зааснаас</w:t>
      </w:r>
      <w:r w:rsidRPr="00A75C82">
        <w:rPr>
          <w:rFonts w:ascii="Arial" w:eastAsia="Arial" w:hAnsi="Arial" w:cs="Arial"/>
          <w:color w:val="000000" w:themeColor="text1"/>
        </w:rPr>
        <w:t xml:space="preserve"> бусад тохиолдолд 10 хувиар.”</w:t>
      </w:r>
    </w:p>
    <w:p w14:paraId="6B7A93C7" w14:textId="77777777" w:rsidR="009B3C21" w:rsidRPr="00A75C82" w:rsidRDefault="009B3C21" w:rsidP="009B3C21">
      <w:pPr>
        <w:ind w:firstLine="1440"/>
        <w:jc w:val="both"/>
        <w:textAlignment w:val="baseline"/>
        <w:rPr>
          <w:color w:val="000000" w:themeColor="text1"/>
          <w:cs/>
        </w:rPr>
      </w:pPr>
    </w:p>
    <w:p w14:paraId="58842184" w14:textId="77777777" w:rsidR="009B3C21" w:rsidRPr="00A75C82" w:rsidRDefault="009B3C21" w:rsidP="009B3C21">
      <w:pPr>
        <w:ind w:firstLine="720"/>
        <w:jc w:val="both"/>
        <w:rPr>
          <w:rFonts w:ascii="Arial" w:hAnsi="Arial" w:cs="Arial"/>
          <w:noProof/>
          <w:color w:val="000000" w:themeColor="text1"/>
        </w:rPr>
      </w:pPr>
      <w:r w:rsidRPr="00A75C82">
        <w:rPr>
          <w:rFonts w:ascii="Arial" w:hAnsi="Arial" w:cs="Arial"/>
          <w:b/>
          <w:bCs/>
          <w:noProof/>
          <w:color w:val="000000" w:themeColor="text1"/>
        </w:rPr>
        <w:t>3 дугаар зүйл.</w:t>
      </w:r>
      <w:r w:rsidRPr="00A75C82">
        <w:rPr>
          <w:rFonts w:ascii="Arial" w:hAnsi="Arial" w:cs="Arial"/>
          <w:noProof/>
          <w:color w:val="000000" w:themeColor="text1"/>
        </w:rPr>
        <w:t xml:space="preserve">Аж ахуйн нэгжийн орлогын албан татварын тухай хуулийн 21 дүгээр зүйлийн 21.1.2 дахь заалтын “Ирээдүйн өв сангийн тухай хуулийн 7.1.1-д” гэснийг “Үндэсний баялгийн сангийн тухай хуулийн 11.1.2-т” гэж, 21.1.3 дахь </w:t>
      </w:r>
      <w:r w:rsidRPr="00A75C82">
        <w:rPr>
          <w:rFonts w:ascii="Arial" w:hAnsi="Arial" w:cs="Arial"/>
          <w:noProof/>
          <w:color w:val="000000" w:themeColor="text1"/>
        </w:rPr>
        <w:lastRenderedPageBreak/>
        <w:t xml:space="preserve">заалтын “Ирээдүйн өв санд улсын төсвөөс хуваарилсан орлого, сангийн” гэснийг “Ирээдүйн өв сан, Хуримтлалын сан, Хөгжлийн санд улсын төсвөөс хуваарилсан орлого,” гэж тус тус өөрчилсүгэй. </w:t>
      </w:r>
    </w:p>
    <w:p w14:paraId="6006B844" w14:textId="77777777" w:rsidR="009B3C21" w:rsidRPr="00A75C82" w:rsidRDefault="009B3C21" w:rsidP="009B3C21">
      <w:pPr>
        <w:ind w:firstLine="720"/>
        <w:jc w:val="both"/>
        <w:rPr>
          <w:rFonts w:ascii="Arial" w:hAnsi="Arial" w:cs="Arial"/>
          <w:b/>
          <w:bCs/>
          <w:noProof/>
          <w:color w:val="000000" w:themeColor="text1"/>
          <w:shd w:val="clear" w:color="auto" w:fill="FFFFFF"/>
        </w:rPr>
      </w:pPr>
    </w:p>
    <w:p w14:paraId="7CD7F772" w14:textId="77777777" w:rsidR="009B3C21" w:rsidRPr="00A75C82" w:rsidRDefault="009B3C21" w:rsidP="009B3C21">
      <w:pPr>
        <w:ind w:firstLine="720"/>
        <w:jc w:val="both"/>
        <w:rPr>
          <w:rFonts w:ascii="Arial" w:hAnsi="Arial" w:cs="Arial"/>
          <w:noProof/>
          <w:color w:val="000000" w:themeColor="text1"/>
        </w:rPr>
      </w:pPr>
      <w:r w:rsidRPr="00A75C82">
        <w:rPr>
          <w:rFonts w:ascii="Arial" w:hAnsi="Arial" w:cs="Arial"/>
          <w:b/>
          <w:bCs/>
          <w:noProof/>
          <w:color w:val="000000" w:themeColor="text1"/>
          <w:shd w:val="clear" w:color="auto" w:fill="FFFFFF"/>
        </w:rPr>
        <w:t>4 дүгээр зүйл.</w:t>
      </w:r>
      <w:r w:rsidRPr="00A75C82">
        <w:rPr>
          <w:rFonts w:ascii="Arial" w:hAnsi="Arial" w:cs="Arial"/>
          <w:bCs/>
          <w:noProof/>
          <w:color w:val="000000" w:themeColor="text1"/>
          <w:shd w:val="clear" w:color="auto" w:fill="FFFFFF"/>
        </w:rPr>
        <w:t xml:space="preserve">Энэ хуулийг </w:t>
      </w:r>
      <w:r w:rsidRPr="00A75C82">
        <w:rPr>
          <w:rFonts w:ascii="Arial" w:hAnsi="Arial" w:cs="Arial"/>
          <w:noProof/>
          <w:color w:val="000000" w:themeColor="text1"/>
        </w:rPr>
        <w:t>Үндэсний баялгийн сангийн тухай хууль хүчин төгөлдөр болсон өдрөөс эхлэн дагаж мөрдөнө.</w:t>
      </w:r>
    </w:p>
    <w:p w14:paraId="043CBC17" w14:textId="77777777" w:rsidR="009B3C21" w:rsidRPr="00A75C82" w:rsidRDefault="009B3C21" w:rsidP="009B3C21">
      <w:pPr>
        <w:ind w:firstLine="720"/>
        <w:jc w:val="both"/>
        <w:rPr>
          <w:rFonts w:ascii="Arial" w:hAnsi="Arial" w:cs="Arial"/>
          <w:noProof/>
          <w:color w:val="000000" w:themeColor="text1"/>
        </w:rPr>
      </w:pPr>
    </w:p>
    <w:p w14:paraId="29087295" w14:textId="77777777" w:rsidR="009B3C21" w:rsidRPr="00A75C82" w:rsidRDefault="009B3C21" w:rsidP="009B3C21">
      <w:pPr>
        <w:ind w:firstLine="720"/>
        <w:jc w:val="both"/>
        <w:rPr>
          <w:rFonts w:ascii="Arial" w:hAnsi="Arial" w:cs="Arial"/>
          <w:noProof/>
          <w:color w:val="000000" w:themeColor="text1"/>
        </w:rPr>
      </w:pPr>
    </w:p>
    <w:p w14:paraId="442088C2" w14:textId="77777777" w:rsidR="009B3C21" w:rsidRPr="00A75C82" w:rsidRDefault="009B3C21" w:rsidP="009B3C21">
      <w:pPr>
        <w:ind w:firstLine="720"/>
        <w:jc w:val="both"/>
        <w:rPr>
          <w:rFonts w:ascii="Arial" w:hAnsi="Arial" w:cs="Arial"/>
          <w:noProof/>
          <w:color w:val="000000" w:themeColor="text1"/>
        </w:rPr>
      </w:pPr>
    </w:p>
    <w:p w14:paraId="2F2B5105" w14:textId="77777777" w:rsidR="009B3C21" w:rsidRPr="00A75C82" w:rsidRDefault="009B3C21" w:rsidP="009B3C21">
      <w:pPr>
        <w:ind w:firstLine="720"/>
        <w:jc w:val="both"/>
        <w:rPr>
          <w:rFonts w:ascii="Arial" w:hAnsi="Arial" w:cs="Arial"/>
          <w:noProof/>
          <w:color w:val="000000" w:themeColor="text1"/>
        </w:rPr>
      </w:pPr>
    </w:p>
    <w:p w14:paraId="2BCFFECA" w14:textId="77777777" w:rsidR="009B3C21" w:rsidRPr="00A75C82" w:rsidRDefault="009B3C21" w:rsidP="009B3C21">
      <w:pPr>
        <w:ind w:left="720" w:firstLine="720"/>
        <w:jc w:val="both"/>
        <w:rPr>
          <w:rFonts w:ascii="Arial" w:hAnsi="Arial" w:cs="Arial"/>
          <w:noProof/>
          <w:color w:val="000000" w:themeColor="text1"/>
        </w:rPr>
      </w:pPr>
      <w:r w:rsidRPr="00A75C82">
        <w:rPr>
          <w:rFonts w:ascii="Arial" w:hAnsi="Arial" w:cs="Arial"/>
          <w:noProof/>
          <w:color w:val="000000" w:themeColor="text1"/>
        </w:rPr>
        <w:t xml:space="preserve">МОНГОЛ УЛСЫН </w:t>
      </w:r>
    </w:p>
    <w:p w14:paraId="4115BC73" w14:textId="16A0A444" w:rsidR="00D9760B" w:rsidRPr="00D9760B" w:rsidRDefault="009B3C21" w:rsidP="009B3C21">
      <w:pPr>
        <w:ind w:left="720" w:hanging="720"/>
        <w:jc w:val="center"/>
        <w:rPr>
          <w:rFonts w:ascii="Arial" w:hAnsi="Arial" w:cs="Arial"/>
          <w:b/>
          <w:lang w:val="mn-MN"/>
        </w:rPr>
      </w:pPr>
      <w:r>
        <w:rPr>
          <w:rFonts w:ascii="Arial" w:hAnsi="Arial" w:cs="Arial"/>
          <w:noProof/>
          <w:color w:val="000000" w:themeColor="text1"/>
        </w:rPr>
        <w:t xml:space="preserve">     </w:t>
      </w:r>
      <w:r w:rsidRPr="00A75C82">
        <w:rPr>
          <w:rFonts w:ascii="Arial" w:hAnsi="Arial" w:cs="Arial"/>
          <w:noProof/>
          <w:color w:val="000000" w:themeColor="text1"/>
        </w:rPr>
        <w:t xml:space="preserve">ИХ ХУРЛЫН ДАРГА </w:t>
      </w:r>
      <w:r w:rsidRPr="00A75C82">
        <w:rPr>
          <w:rFonts w:ascii="Arial" w:hAnsi="Arial" w:cs="Arial"/>
          <w:noProof/>
          <w:color w:val="000000" w:themeColor="text1"/>
        </w:rPr>
        <w:tab/>
      </w:r>
      <w:r w:rsidRPr="00A75C82">
        <w:rPr>
          <w:rFonts w:ascii="Arial" w:hAnsi="Arial" w:cs="Arial"/>
          <w:noProof/>
          <w:color w:val="000000" w:themeColor="text1"/>
        </w:rPr>
        <w:tab/>
      </w:r>
      <w:r w:rsidRPr="00A75C82">
        <w:rPr>
          <w:rFonts w:ascii="Arial" w:hAnsi="Arial" w:cs="Arial"/>
          <w:noProof/>
          <w:color w:val="000000" w:themeColor="text1"/>
        </w:rPr>
        <w:tab/>
      </w:r>
      <w:r w:rsidRPr="00A75C82">
        <w:rPr>
          <w:rFonts w:ascii="Arial" w:hAnsi="Arial" w:cs="Arial"/>
          <w:noProof/>
          <w:color w:val="000000" w:themeColor="text1"/>
        </w:rPr>
        <w:tab/>
        <w:t>Г.ЗАНДАНШАТАР</w:t>
      </w: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62E56"/>
    <w:rsid w:val="002775D1"/>
    <w:rsid w:val="00281473"/>
    <w:rsid w:val="002B7ECC"/>
    <w:rsid w:val="002C5FE9"/>
    <w:rsid w:val="002D30FA"/>
    <w:rsid w:val="002E2D43"/>
    <w:rsid w:val="002E2DFE"/>
    <w:rsid w:val="002F5EF7"/>
    <w:rsid w:val="00305804"/>
    <w:rsid w:val="00322724"/>
    <w:rsid w:val="00350715"/>
    <w:rsid w:val="003602FA"/>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B3C21"/>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43B14"/>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2024-04-26T09:12:00Z</dcterms:created>
  <dcterms:modified xsi:type="dcterms:W3CDTF">2024-04-26T09:12:00Z</dcterms:modified>
</cp:coreProperties>
</file>