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1595F9DA"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946918">
        <w:rPr>
          <w:rFonts w:ascii="Arial" w:hAnsi="Arial" w:cs="Arial"/>
          <w:color w:val="3366FF"/>
          <w:sz w:val="20"/>
          <w:szCs w:val="20"/>
          <w:u w:val="single"/>
          <w:lang w:val="ms-MY"/>
        </w:rPr>
        <w:t>20</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946918">
        <w:rPr>
          <w:rFonts w:ascii="Arial" w:hAnsi="Arial" w:cs="Arial"/>
          <w:color w:val="3366FF"/>
          <w:sz w:val="20"/>
          <w:szCs w:val="20"/>
          <w:u w:val="single"/>
          <w:lang w:val="ms-MY"/>
        </w:rPr>
        <w:t>05</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0E3111">
        <w:rPr>
          <w:rFonts w:ascii="Arial" w:hAnsi="Arial" w:cs="Arial"/>
          <w:color w:val="3366FF"/>
          <w:sz w:val="20"/>
          <w:szCs w:val="20"/>
          <w:u w:val="single"/>
        </w:rPr>
        <w:t>1</w:t>
      </w:r>
      <w:r w:rsidR="00946918">
        <w:rPr>
          <w:rFonts w:ascii="Arial" w:hAnsi="Arial" w:cs="Arial"/>
          <w:color w:val="3366FF"/>
          <w:sz w:val="20"/>
          <w:szCs w:val="20"/>
          <w:u w:val="single"/>
        </w:rPr>
        <w:t>4</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449C2BE1" w14:textId="77777777" w:rsidR="00946918" w:rsidRDefault="00946918" w:rsidP="006E2872">
      <w:pPr>
        <w:jc w:val="center"/>
        <w:rPr>
          <w:rFonts w:ascii="Arial" w:hAnsi="Arial" w:cs="Arial"/>
          <w:b/>
          <w:bCs/>
          <w:lang w:val="mn-MN"/>
        </w:rPr>
      </w:pPr>
    </w:p>
    <w:p w14:paraId="305D6135" w14:textId="77777777" w:rsidR="002C0A29" w:rsidRPr="004F2670" w:rsidRDefault="002C0A29" w:rsidP="002C0A29">
      <w:pPr>
        <w:ind w:left="284"/>
        <w:contextualSpacing/>
        <w:jc w:val="center"/>
        <w:rPr>
          <w:rFonts w:ascii="Arial" w:hAnsi="Arial" w:cs="Arial"/>
          <w:b/>
          <w:bCs/>
          <w:noProof/>
          <w:color w:val="000000" w:themeColor="text1"/>
          <w:lang w:val="mn-MN"/>
        </w:rPr>
      </w:pPr>
      <w:r w:rsidRPr="004F2670">
        <w:rPr>
          <w:rFonts w:ascii="Arial" w:hAnsi="Arial" w:cs="Arial"/>
          <w:b/>
          <w:bCs/>
          <w:noProof/>
          <w:color w:val="000000" w:themeColor="text1"/>
          <w:lang w:val="mn-MN"/>
        </w:rPr>
        <w:t xml:space="preserve">ГҮЙЦЭТГЭХ АЖЛЫН ТУХАЙ ХУУЛЬД </w:t>
      </w:r>
    </w:p>
    <w:p w14:paraId="0966EB8D" w14:textId="77777777" w:rsidR="002C0A29" w:rsidRPr="004F2670" w:rsidRDefault="002C0A29" w:rsidP="002C0A29">
      <w:pPr>
        <w:ind w:left="284"/>
        <w:contextualSpacing/>
        <w:jc w:val="center"/>
        <w:rPr>
          <w:rFonts w:ascii="Arial" w:hAnsi="Arial" w:cs="Arial"/>
          <w:b/>
          <w:bCs/>
          <w:noProof/>
          <w:color w:val="000000" w:themeColor="text1"/>
          <w:lang w:val="mn-MN"/>
        </w:rPr>
      </w:pPr>
      <w:r w:rsidRPr="004F2670">
        <w:rPr>
          <w:rFonts w:ascii="Arial" w:hAnsi="Arial" w:cs="Arial"/>
          <w:b/>
          <w:bCs/>
          <w:noProof/>
          <w:color w:val="000000" w:themeColor="text1"/>
          <w:lang w:val="mn-MN"/>
        </w:rPr>
        <w:t>НЭМЭЛТ ОРУУЛАХ ТУХАЙ</w:t>
      </w:r>
    </w:p>
    <w:p w14:paraId="4C673AAB" w14:textId="77777777" w:rsidR="002C0A29" w:rsidRPr="004F2670" w:rsidRDefault="002C0A29" w:rsidP="002C0A29">
      <w:pPr>
        <w:spacing w:line="360" w:lineRule="auto"/>
        <w:contextualSpacing/>
        <w:rPr>
          <w:rFonts w:ascii="Arial" w:hAnsi="Arial" w:cs="Arial"/>
          <w:noProof/>
          <w:color w:val="000000" w:themeColor="text1"/>
          <w:lang w:val="mn-MN"/>
        </w:rPr>
      </w:pPr>
    </w:p>
    <w:p w14:paraId="2F427FAC" w14:textId="77777777" w:rsidR="002C0A29" w:rsidRPr="004F2670" w:rsidRDefault="002C0A29" w:rsidP="002C0A29">
      <w:pPr>
        <w:contextualSpacing/>
        <w:jc w:val="both"/>
        <w:rPr>
          <w:rFonts w:ascii="Arial" w:hAnsi="Arial" w:cs="Arial"/>
          <w:bCs/>
          <w:noProof/>
          <w:color w:val="000000" w:themeColor="text1"/>
          <w:lang w:val="mn-MN"/>
        </w:rPr>
      </w:pPr>
      <w:r w:rsidRPr="004F2670">
        <w:rPr>
          <w:rFonts w:ascii="Arial" w:hAnsi="Arial" w:cs="Arial"/>
          <w:noProof/>
          <w:color w:val="000000" w:themeColor="text1"/>
          <w:lang w:val="mn-MN"/>
        </w:rPr>
        <w:tab/>
      </w:r>
      <w:r w:rsidRPr="004F2670">
        <w:rPr>
          <w:rFonts w:ascii="Arial" w:hAnsi="Arial" w:cs="Arial"/>
          <w:b/>
          <w:noProof/>
          <w:color w:val="000000" w:themeColor="text1"/>
          <w:lang w:val="mn-MN"/>
        </w:rPr>
        <w:t>1 дүгээр зүйл.</w:t>
      </w:r>
      <w:r w:rsidRPr="004F2670">
        <w:rPr>
          <w:rFonts w:ascii="Arial" w:hAnsi="Arial" w:cs="Arial"/>
          <w:noProof/>
          <w:color w:val="000000" w:themeColor="text1"/>
          <w:lang w:val="mn-MN"/>
        </w:rPr>
        <w:t xml:space="preserve">Гүйцэтгэх ажлын тухай хуулийн 2 дугаар зүйлд </w:t>
      </w:r>
      <w:r w:rsidRPr="004F2670">
        <w:rPr>
          <w:rFonts w:ascii="Arial" w:hAnsi="Arial" w:cs="Arial"/>
          <w:lang w:val="mn-MN"/>
        </w:rPr>
        <w:t>“Төрийн тусгай хамгаалалтын байгууллагаас хуулиар төрийн тусгай хамгаалалтад байхаар тогтоосон Улсын Их Хурлын чуулган, Засгийн газар, Үндэсний аюулгүй байдлын зөвлөлийн хуралдаан, олон улсын дээд хэмжээний уулзалт, хэлэлцээ, хурал, зөвлөгөөн явагдах танхимд болон хамгаалуулагчийн аюулгүй байдлыг хангах чиглэлээр хийх техникийн үзлэг, шалгалт гүйцэтгэх ажилд хамаарахгүй.” гэсэн</w:t>
      </w:r>
      <w:r w:rsidRPr="004F2670">
        <w:rPr>
          <w:rFonts w:ascii="Arial" w:hAnsi="Arial" w:cs="Arial"/>
          <w:noProof/>
          <w:color w:val="000000" w:themeColor="text1"/>
          <w:lang w:val="mn-MN"/>
        </w:rPr>
        <w:t xml:space="preserve"> 2 дахь өгүүлбэр </w:t>
      </w:r>
      <w:r w:rsidRPr="004F2670">
        <w:rPr>
          <w:rFonts w:ascii="Arial" w:hAnsi="Arial" w:cs="Arial"/>
          <w:bCs/>
          <w:noProof/>
          <w:color w:val="000000" w:themeColor="text1"/>
          <w:lang w:val="mn-MN"/>
        </w:rPr>
        <w:t>нэмсүгэй.</w:t>
      </w:r>
    </w:p>
    <w:p w14:paraId="2528C340" w14:textId="77777777" w:rsidR="002C0A29" w:rsidRPr="004F2670" w:rsidRDefault="002C0A29" w:rsidP="002C0A29">
      <w:pPr>
        <w:contextualSpacing/>
        <w:jc w:val="both"/>
        <w:rPr>
          <w:rFonts w:ascii="Arial" w:hAnsi="Arial" w:cs="Arial"/>
          <w:noProof/>
          <w:color w:val="000000" w:themeColor="text1"/>
          <w:lang w:val="mn-MN"/>
        </w:rPr>
      </w:pPr>
    </w:p>
    <w:p w14:paraId="27D738F5" w14:textId="77777777" w:rsidR="002C0A29" w:rsidRPr="004F2670" w:rsidRDefault="002C0A29" w:rsidP="002C0A29">
      <w:pPr>
        <w:ind w:firstLine="720"/>
        <w:jc w:val="both"/>
        <w:rPr>
          <w:rFonts w:ascii="Arial" w:hAnsi="Arial" w:cs="Arial"/>
          <w:lang w:val="mn-MN"/>
        </w:rPr>
      </w:pPr>
      <w:r w:rsidRPr="004F2670">
        <w:rPr>
          <w:rFonts w:ascii="Arial" w:hAnsi="Arial" w:cs="Arial"/>
          <w:b/>
          <w:noProof/>
          <w:color w:val="000000" w:themeColor="text1"/>
          <w:lang w:val="mn-MN"/>
        </w:rPr>
        <w:t>2 дугаар зүйл.</w:t>
      </w:r>
      <w:r w:rsidRPr="004F2670">
        <w:rPr>
          <w:rFonts w:ascii="Arial" w:hAnsi="Arial" w:cs="Arial"/>
          <w:noProof/>
          <w:color w:val="000000" w:themeColor="text1"/>
          <w:lang w:val="mn-MN"/>
        </w:rPr>
        <w:t xml:space="preserve">Энэ хуулийг </w:t>
      </w:r>
      <w:r w:rsidRPr="004F2670">
        <w:rPr>
          <w:rFonts w:ascii="Arial" w:hAnsi="Arial" w:cs="Arial"/>
          <w:lang w:val="mn-MN"/>
        </w:rPr>
        <w:t xml:space="preserve">Төрийн тусгай хамгаалалтын тухай хуульд нэмэлт, өөрчлөлт оруулах тухай хууль хүчин төгөлдөр болсон өдрөөс эхлэн дагаж мөрдөнө. </w:t>
      </w:r>
    </w:p>
    <w:p w14:paraId="06B0C628" w14:textId="77777777" w:rsidR="002C0A29" w:rsidRPr="004F2670" w:rsidRDefault="002C0A29" w:rsidP="002C0A29">
      <w:pPr>
        <w:contextualSpacing/>
        <w:jc w:val="both"/>
        <w:rPr>
          <w:rFonts w:ascii="Arial" w:hAnsi="Arial" w:cs="Arial"/>
          <w:noProof/>
          <w:color w:val="000000" w:themeColor="text1"/>
          <w:lang w:val="mn-MN"/>
        </w:rPr>
      </w:pPr>
    </w:p>
    <w:p w14:paraId="46AE9405" w14:textId="77777777" w:rsidR="002C0A29" w:rsidRPr="004F2670" w:rsidRDefault="002C0A29" w:rsidP="002C0A29">
      <w:pPr>
        <w:contextualSpacing/>
        <w:jc w:val="both"/>
        <w:rPr>
          <w:rFonts w:ascii="Arial" w:hAnsi="Arial" w:cs="Arial"/>
          <w:noProof/>
          <w:color w:val="000000" w:themeColor="text1"/>
          <w:lang w:val="mn-MN"/>
        </w:rPr>
      </w:pPr>
    </w:p>
    <w:p w14:paraId="32715317" w14:textId="77777777" w:rsidR="002C0A29" w:rsidRPr="004F2670" w:rsidRDefault="002C0A29" w:rsidP="002C0A29">
      <w:pPr>
        <w:contextualSpacing/>
        <w:jc w:val="both"/>
        <w:rPr>
          <w:rFonts w:ascii="Arial" w:hAnsi="Arial" w:cs="Arial"/>
          <w:noProof/>
          <w:color w:val="000000" w:themeColor="text1"/>
          <w:lang w:val="mn-MN"/>
        </w:rPr>
      </w:pPr>
    </w:p>
    <w:p w14:paraId="408D79F0" w14:textId="77777777" w:rsidR="002C0A29" w:rsidRPr="004F2670" w:rsidRDefault="002C0A29" w:rsidP="002C0A29">
      <w:pPr>
        <w:contextualSpacing/>
        <w:jc w:val="both"/>
        <w:rPr>
          <w:rFonts w:ascii="Arial" w:hAnsi="Arial" w:cs="Arial"/>
          <w:noProof/>
          <w:color w:val="000000" w:themeColor="text1"/>
          <w:lang w:val="mn-MN"/>
        </w:rPr>
      </w:pPr>
    </w:p>
    <w:p w14:paraId="0E8BCB33" w14:textId="77777777" w:rsidR="002C0A29" w:rsidRPr="004F2670" w:rsidRDefault="002C0A29" w:rsidP="002C0A29">
      <w:pPr>
        <w:contextualSpacing/>
        <w:jc w:val="both"/>
        <w:rPr>
          <w:rFonts w:ascii="Arial" w:hAnsi="Arial" w:cs="Arial"/>
          <w:noProof/>
          <w:color w:val="000000" w:themeColor="text1"/>
          <w:lang w:val="mn-MN"/>
        </w:rPr>
      </w:pPr>
      <w:r w:rsidRPr="004F2670">
        <w:rPr>
          <w:rFonts w:ascii="Arial" w:hAnsi="Arial" w:cs="Arial"/>
          <w:noProof/>
          <w:color w:val="000000" w:themeColor="text1"/>
          <w:lang w:val="mn-MN"/>
        </w:rPr>
        <w:tab/>
      </w:r>
      <w:r w:rsidRPr="004F2670">
        <w:rPr>
          <w:rFonts w:ascii="Arial" w:hAnsi="Arial" w:cs="Arial"/>
          <w:noProof/>
          <w:color w:val="000000" w:themeColor="text1"/>
          <w:lang w:val="mn-MN"/>
        </w:rPr>
        <w:tab/>
        <w:t xml:space="preserve">МОНГОЛ УЛСЫН </w:t>
      </w:r>
    </w:p>
    <w:p w14:paraId="057C05D1" w14:textId="0DF9BDD4" w:rsidR="006C31FD" w:rsidRPr="00017865" w:rsidRDefault="002C0A29" w:rsidP="002C0A29">
      <w:pPr>
        <w:contextualSpacing/>
        <w:jc w:val="both"/>
        <w:rPr>
          <w:rFonts w:ascii="Arial" w:hAnsi="Arial" w:cs="Arial"/>
          <w:noProof/>
          <w:color w:val="000000" w:themeColor="text1"/>
          <w:lang w:val="mn-MN"/>
        </w:rPr>
      </w:pPr>
      <w:r w:rsidRPr="004F2670">
        <w:rPr>
          <w:rFonts w:ascii="Arial" w:hAnsi="Arial" w:cs="Arial"/>
          <w:noProof/>
          <w:color w:val="000000" w:themeColor="text1"/>
          <w:lang w:val="mn-MN"/>
        </w:rPr>
        <w:tab/>
      </w:r>
      <w:r w:rsidRPr="004F2670">
        <w:rPr>
          <w:rFonts w:ascii="Arial" w:hAnsi="Arial" w:cs="Arial"/>
          <w:noProof/>
          <w:color w:val="000000" w:themeColor="text1"/>
          <w:lang w:val="mn-MN"/>
        </w:rPr>
        <w:tab/>
        <w:t>ИХ ХУРЛЫН ДАРГА</w:t>
      </w:r>
      <w:r w:rsidRPr="004F2670">
        <w:rPr>
          <w:rFonts w:ascii="Arial" w:hAnsi="Arial" w:cs="Arial"/>
          <w:noProof/>
          <w:color w:val="000000" w:themeColor="text1"/>
          <w:lang w:val="mn-MN"/>
        </w:rPr>
        <w:tab/>
      </w:r>
      <w:r w:rsidRPr="004F2670">
        <w:rPr>
          <w:rFonts w:ascii="Arial" w:hAnsi="Arial" w:cs="Arial"/>
          <w:noProof/>
          <w:color w:val="000000" w:themeColor="text1"/>
          <w:lang w:val="mn-MN"/>
        </w:rPr>
        <w:tab/>
      </w:r>
      <w:r w:rsidRPr="004F2670">
        <w:rPr>
          <w:rFonts w:ascii="Arial" w:hAnsi="Arial" w:cs="Arial"/>
          <w:noProof/>
          <w:color w:val="000000" w:themeColor="text1"/>
          <w:lang w:val="mn-MN"/>
        </w:rPr>
        <w:tab/>
        <w:t xml:space="preserve">        Г.ЗАНДАНШАТАР</w:t>
      </w:r>
      <w:bookmarkStart w:id="0" w:name="_GoBack"/>
      <w:bookmarkEnd w:id="0"/>
    </w:p>
    <w:sectPr w:rsidR="006C31FD" w:rsidRPr="00017865"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B5D9C" w14:textId="77777777" w:rsidR="003F33C7" w:rsidRDefault="003F33C7">
      <w:r>
        <w:separator/>
      </w:r>
    </w:p>
  </w:endnote>
  <w:endnote w:type="continuationSeparator" w:id="0">
    <w:p w14:paraId="3B5A3F8B" w14:textId="77777777" w:rsidR="003F33C7" w:rsidRDefault="003F3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99B1A" w14:textId="77777777" w:rsidR="003F33C7" w:rsidRDefault="003F33C7">
      <w:r>
        <w:separator/>
      </w:r>
    </w:p>
  </w:footnote>
  <w:footnote w:type="continuationSeparator" w:id="0">
    <w:p w14:paraId="07FCF52A" w14:textId="77777777" w:rsidR="003F33C7" w:rsidRDefault="003F33C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17865"/>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0A29"/>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3C7"/>
    <w:rsid w:val="003F37CB"/>
    <w:rsid w:val="00400D61"/>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F73B0"/>
    <w:rsid w:val="009062F0"/>
    <w:rsid w:val="00933D0F"/>
    <w:rsid w:val="00941A5C"/>
    <w:rsid w:val="00942A56"/>
    <w:rsid w:val="009450DA"/>
    <w:rsid w:val="00946918"/>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B61CB"/>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D43A5"/>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2020-06-03T03:24:00Z</dcterms:created>
  <dcterms:modified xsi:type="dcterms:W3CDTF">2020-06-03T03:24:00Z</dcterms:modified>
</cp:coreProperties>
</file>