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Хууль зүйн  байнгын хорооны 11 дүгээр сарын 27-ны өдөр /Пүрэв гараг/-ийн  хуралдааны гар тэмдэглэл</w:t>
      </w:r>
    </w:p>
    <w:p>
      <w:pPr>
        <w:pStyle w:val="style22"/>
        <w:spacing w:after="0" w:before="0" w:line="200" w:lineRule="atLeast"/>
        <w:ind w:hanging="0" w:left="283" w:right="0"/>
        <w:contextualSpacing w:val="false"/>
        <w:jc w:val="center"/>
      </w:pPr>
      <w:r>
        <w:rPr/>
      </w:r>
    </w:p>
    <w:p>
      <w:pPr>
        <w:pStyle w:val="style21"/>
        <w:spacing w:after="0" w:before="0" w:line="200" w:lineRule="atLeast"/>
        <w:ind w:hanging="0" w:left="0" w:right="0"/>
        <w:contextualSpacing w:val="false"/>
      </w:pPr>
      <w:r>
        <w:rPr>
          <w:rFonts w:cs="Arial"/>
          <w:sz w:val="24"/>
          <w:szCs w:val="24"/>
          <w:lang w:val="mn-MN"/>
        </w:rPr>
        <w:tab/>
        <w:t xml:space="preserve">Улсын Их Хурлын гишүүн </w:t>
      </w:r>
      <w:r>
        <w:rPr>
          <w:rFonts w:cs="Arial"/>
          <w:sz w:val="24"/>
          <w:szCs w:val="24"/>
          <w:effect w:val="blinkBackground"/>
          <w:lang w:val="mn-MN"/>
        </w:rPr>
        <w:t>Ш.Түвдэндорж</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12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63.1</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12 цаг 31 минутад Төрийн ордны “В” танхимд эхлэв.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tab/>
      </w:r>
      <w:r>
        <w:rPr>
          <w:b/>
          <w:bCs/>
          <w:lang w:val="mn-MN"/>
        </w:rPr>
        <w:t>Чөлөөтэй:</w:t>
      </w:r>
      <w:r>
        <w:rPr>
          <w:b w:val="false"/>
          <w:bCs w:val="false"/>
          <w:lang w:val="mn-MN"/>
        </w:rPr>
        <w:t xml:space="preserve"> </w:t>
      </w:r>
      <w:r>
        <w:rPr>
          <w:b w:val="false"/>
          <w:bCs w:val="false"/>
          <w:lang w:val="mn-MN"/>
        </w:rPr>
        <w:t>Д.Ганбат, О.Баасанхүү, Р.Бурмаа</w:t>
      </w:r>
      <w:r>
        <w:rPr>
          <w:b w:val="false"/>
          <w:bCs w:val="false"/>
          <w:lang w:val="mn-MN"/>
        </w:rPr>
        <w:t>.</w:t>
      </w:r>
    </w:p>
    <w:p>
      <w:pPr>
        <w:pStyle w:val="style21"/>
        <w:spacing w:after="0" w:before="0" w:line="200" w:lineRule="atLeast"/>
        <w:ind w:hanging="0" w:left="0" w:right="0"/>
        <w:contextualSpacing w:val="false"/>
      </w:pPr>
      <w:r>
        <w:rPr>
          <w:b/>
          <w:bCs/>
          <w:sz w:val="24"/>
          <w:szCs w:val="24"/>
          <w:lang w:val="mn-MN"/>
        </w:rPr>
        <w:tab/>
        <w:t xml:space="preserve">Өвчтэй: </w:t>
      </w:r>
      <w:r>
        <w:rPr>
          <w:b w:val="false"/>
          <w:bCs w:val="false"/>
          <w:sz w:val="24"/>
          <w:szCs w:val="24"/>
          <w:lang w:val="mn-MN"/>
        </w:rPr>
        <w:t>Б.Бат-Эрдэнэ, Д.Лүндээжанцан</w:t>
      </w:r>
      <w:r>
        <w:rPr>
          <w:b w:val="false"/>
          <w:bCs w:val="false"/>
          <w:sz w:val="24"/>
          <w:szCs w:val="24"/>
          <w:lang w:val="mn-MN"/>
        </w:rPr>
        <w:t>.</w:t>
      </w:r>
    </w:p>
    <w:p>
      <w:pPr>
        <w:pStyle w:val="style21"/>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Ц.Нямдорж, Ө.Энхтүвшин</w:t>
      </w:r>
      <w:r>
        <w:rPr>
          <w:rFonts w:cs="Arial"/>
          <w:b w:val="false"/>
          <w:bCs w:val="false"/>
          <w:i w:val="false"/>
          <w:iCs w:val="false"/>
          <w:sz w:val="24"/>
          <w:szCs w:val="24"/>
          <w:lang w:val="mn-MN"/>
        </w:rPr>
        <w:t>.</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b/>
          <w:bCs/>
          <w:i/>
          <w:iCs/>
        </w:rPr>
        <w:tab/>
      </w:r>
      <w:r>
        <w:rPr>
          <w:b/>
          <w:bCs/>
          <w:i/>
          <w:iCs/>
          <w:lang w:val="mn-MN"/>
        </w:rPr>
        <w:t>Нэг. Авлигатай тэмцэх газрын дэд даргын үүрэгт ажлаас чөлөөлөх тухай асуудал</w:t>
      </w:r>
    </w:p>
    <w:p>
      <w:pPr>
        <w:pStyle w:val="style21"/>
        <w:spacing w:after="0" w:before="0" w:line="200" w:lineRule="atLeast"/>
        <w:ind w:hanging="0" w:left="0" w:right="0"/>
        <w:contextualSpacing w:val="false"/>
      </w:pPr>
      <w:r>
        <w:rPr>
          <w:b/>
          <w:bCs/>
          <w:i/>
          <w:iCs/>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Хэлэлцэж буй асуудалтай холбогдуулан Авлигатай тэмцэх газрын дэд дарга Б.Хурц, </w:t>
      </w:r>
      <w:r>
        <w:rPr>
          <w:rStyle w:val="style15"/>
          <w:rFonts w:cs="Arial"/>
          <w:b w:val="false"/>
          <w:bCs w:val="false"/>
          <w:i w:val="false"/>
          <w:iCs w:val="false"/>
          <w:sz w:val="24"/>
          <w:szCs w:val="24"/>
          <w:lang w:val="mn-MN"/>
        </w:rPr>
        <w:t xml:space="preserve">Улсын Их Хурлын Хууль зүйн байнгын хорооны ажлын албаны зөвлөх  Г.Нямдэлгэр, Б.Батсэлэнгэ, референт Г.Батчимэг, Ч.Батбямба, Б.Хонгорзул нар байлцав. </w:t>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Улсын Их Хурлын гишүүн Ш.Түвдэндорж Авлигын эсрэг хуулийн 22 дугаар зүйлийн 22.1.1 дэх заалтыг үндэслэн Авлигатай тэмцэх газрын дэд дарга Батын Хурцыг үүрэгт ажлаас нь чөлөөлөх асуудлыг танилцуулав.</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Танилцуулгатай холбогдуулан Улсын Их Хурлын гишүүн Р.Гончигдорж, З.Энхболд нарын тавьсан асуултад Улсын Их Хурлын гишүүн Ш.Түвдэндорж хариулж, тайлбар хийв.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Улсын Их Хурлын гишүүн З.Баянсэлэнгэ, С.Эрдэнэ нар үг хэлэв.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Ш.Түвдэндорж: - </w:t>
      </w:r>
      <w:r>
        <w:rPr>
          <w:rStyle w:val="style15"/>
          <w:rFonts w:cs="Arial"/>
          <w:b w:val="false"/>
          <w:bCs w:val="false"/>
          <w:i w:val="false"/>
          <w:iCs w:val="false"/>
          <w:sz w:val="24"/>
          <w:szCs w:val="24"/>
          <w:lang w:val="mn-MN"/>
        </w:rPr>
        <w:t xml:space="preserve">Авлигын эсрэг хуулийн 22 дугаар зүйлийн 22.1.1 дэх заалтыг үндэслэн Батын Хурцыг Авлигатай тэмцэх газрын дэд даргын үүрэгт ажлаас чөлөөлөхийг дэмжье.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Зөвшөөрсөн:</w:t>
        <w:tab/>
        <w:t>11</w:t>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Татгалзсан:</w:t>
        <w:tab/>
        <w:tab/>
        <w:t>1</w:t>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Бүгд:</w:t>
        <w:tab/>
        <w:tab/>
        <w:tab/>
        <w:t>12</w:t>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91.7 хувийн саналаар дэмжигдлээ.</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Хууль зүйн байнгын хорооноос гарсан танилцуулгыг Улсын Их Хурлын чуулганы нэгдсэн хуралдаанд Улсын Их Хурлын гишүүн Ш.Түвдэндорж  танилцуулахаар тогтов. </w:t>
      </w:r>
    </w:p>
    <w:p>
      <w:pPr>
        <w:pStyle w:val="style0"/>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r>
      <w:bookmarkStart w:id="0" w:name="__DdeLink__350_524883527"/>
      <w:r>
        <w:rPr>
          <w:rFonts w:cs="Arial"/>
          <w:b/>
          <w:bCs/>
          <w:i/>
          <w:iCs/>
          <w:sz w:val="24"/>
          <w:szCs w:val="24"/>
          <w:lang w:val="ms-MY"/>
        </w:rPr>
        <w:t>Х</w:t>
      </w:r>
      <w:r>
        <w:rPr>
          <w:rFonts w:cs="Arial"/>
          <w:b/>
          <w:bCs/>
          <w:i/>
          <w:iCs/>
          <w:sz w:val="24"/>
          <w:szCs w:val="24"/>
          <w:lang w:val="mn-MN"/>
        </w:rPr>
        <w:t>уралдаан 9 минут үргэлжилж, 12</w:t>
      </w:r>
      <w:r>
        <w:rPr>
          <w:rFonts w:cs="Arial"/>
          <w:b/>
          <w:bCs/>
          <w:i/>
          <w:iCs/>
          <w:sz w:val="24"/>
          <w:szCs w:val="24"/>
          <w:lang w:val="ms-MY"/>
        </w:rPr>
        <w:t xml:space="preserve"> цаг </w:t>
      </w:r>
      <w:r>
        <w:rPr>
          <w:rFonts w:cs="Arial"/>
          <w:b/>
          <w:bCs/>
          <w:i/>
          <w:iCs/>
          <w:sz w:val="24"/>
          <w:szCs w:val="24"/>
          <w:lang w:val="mn-MN"/>
        </w:rPr>
        <w:t xml:space="preserve">40 минутад </w:t>
      </w:r>
      <w:bookmarkEnd w:id="0"/>
      <w:r>
        <w:rPr>
          <w:rFonts w:cs="Arial"/>
          <w:b/>
          <w:bCs/>
          <w:i/>
          <w:iCs/>
          <w:sz w:val="24"/>
          <w:szCs w:val="24"/>
          <w:lang w:val="ms-MY"/>
        </w:rPr>
        <w:t>өндөрлөв.</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3"/>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4"/>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ХУУЛЬ ЗҮЙН БАЙНГЫН ХОРООНЫ 11 ДҮГЭЭР САРЫН 27-НЫ ӨДӨР </w:t>
      </w:r>
    </w:p>
    <w:p>
      <w:pPr>
        <w:pStyle w:val="style0"/>
        <w:spacing w:after="0" w:before="0" w:line="200" w:lineRule="atLeast"/>
        <w:contextualSpacing w:val="false"/>
        <w:jc w:val="center"/>
      </w:pPr>
      <w:r>
        <w:rPr>
          <w:rFonts w:cs="Arial"/>
          <w:b/>
          <w:bCs/>
          <w:sz w:val="24"/>
          <w:szCs w:val="24"/>
          <w:lang w:val="mn-MN"/>
        </w:rPr>
        <w:t>/ПҮРЭВ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3"/>
        <w:spacing w:after="0" w:before="0" w:line="200" w:lineRule="atLeast"/>
        <w:contextualSpacing w:val="false"/>
      </w:pPr>
      <w:r>
        <w:rPr/>
      </w:r>
    </w:p>
    <w:p>
      <w:pPr>
        <w:pStyle w:val="style23"/>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12 </w:t>
      </w:r>
      <w:r>
        <w:rPr>
          <w:rFonts w:cs="Arial"/>
          <w:i/>
          <w:iCs/>
          <w:sz w:val="24"/>
          <w:szCs w:val="24"/>
          <w:lang w:val="ms-MY"/>
        </w:rPr>
        <w:t xml:space="preserve">цаг </w:t>
      </w:r>
      <w:r>
        <w:rPr>
          <w:rFonts w:cs="Arial"/>
          <w:i/>
          <w:iCs/>
          <w:sz w:val="24"/>
          <w:szCs w:val="24"/>
          <w:lang w:val="mn-MN"/>
        </w:rPr>
        <w:t xml:space="preserve">31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ind w:hanging="0" w:left="0" w:right="0"/>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Ш.Түвдэндорж</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Байнгын хороодын гишүүдийн энэ өдрийн амгаланг эрье. Байнгын хорооны эрхэм гишүүдийн ирц бүрдсэн тул Хууль зүйн байнгын хорооны 2014 оны 11 дүгээр сарын 27-ны өдрийн хуралдаан нээснийг мэдэгдье.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Байнгын хорооны хуралдаанаар хэлэлцэх асуудлыг танилцуулъя. Хэлэлцэх асуудал нь Авлигатай тэмцэх газрын дэд дарга Батын Хурцыг үүрэгт ажлаас чөлөөлөгдөх хүсэлтийг хэлэлцэх тухай. Өөр хэлэлцэх асуудалд саналтай гишүүн байна уу? Байхгүй бол хэлэлцэх асуудлаа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Санал нэгтэй баталлаа. За хэлэлцэх асуудалдаа оръё. Авлигын эсрэг хуулийн 22 дугаар зүйлийн 22.1.1 дэх заалтыг үндэслэн Авлигатай тэмцэх газрын дэд дарга Батын Хурцыг үүрэгт ажлаас нь чөлөөлөх асуудлыг хэлэлцье.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Хуралдаанд хүсэлт гаргасан Батын Хурцыг оруулчих.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Энэ асуудалтай холбогдон Батын Хурцаас асуух асуулттай гишүүд байна уу? За Р.Гончигдорж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За баярлалаа. Тагнуулын даргаар томилогдсонтой холбогдуулж хавсарч болохгүй ажил албан тушаал гэсэн утгаараа Авлигатай тэмцэх газрын дэд даргаас чөлөөлөгдөж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сүүлд нь асууя даа. Энэ чинь нээлттэй хуралдаан шүү дээ. Тийм ээ. Сүүлд асууна. Авлигатай тэмцэх газрын гүйцэтгэх ажлыг одоо Тагнуулын ерөнхий газрын даргын байр сууринаас харахад ямархуу өөрчлөлт, шинэчлэлт хууль эрх зүйн хувьд нь хийх шаардлагатай юм бэ гэдэг талаар та сүүлд нэг надад байр суурь, бодлоо нэг илэрхийлж өгөөрэй. Одоо энэ дээр бол хариулт шаардлагагүй.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Ш.Түвдэндорж: - </w:t>
      </w:r>
      <w:r>
        <w:rPr>
          <w:rStyle w:val="style15"/>
          <w:rFonts w:cs="Arial"/>
          <w:b w:val="false"/>
          <w:bCs w:val="false"/>
          <w:i w:val="false"/>
          <w:iCs w:val="false"/>
          <w:sz w:val="24"/>
          <w:szCs w:val="24"/>
          <w:lang w:val="mn-MN"/>
        </w:rPr>
        <w:t xml:space="preserve">За асуулт. З.Энхболд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З.Энхболд: -</w:t>
      </w:r>
      <w:r>
        <w:rPr>
          <w:rStyle w:val="style15"/>
          <w:rFonts w:cs="Arial"/>
          <w:b w:val="false"/>
          <w:bCs w:val="false"/>
          <w:i w:val="false"/>
          <w:iCs w:val="false"/>
          <w:sz w:val="24"/>
          <w:szCs w:val="24"/>
          <w:lang w:val="mn-MN"/>
        </w:rPr>
        <w:t xml:space="preserve"> Тогтоолын төслийг энэ Байнгын хороо хийсэн байх. Тийм ээ. Нөгөө өөр ажилд томилсонтой нь холбогдуулан гэж бичих шаардлагагүй байсан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Ш.Түвдэндорж: - </w:t>
      </w:r>
      <w:r>
        <w:rPr>
          <w:rStyle w:val="style15"/>
          <w:rFonts w:cs="Arial"/>
          <w:b w:val="false"/>
          <w:bCs w:val="false"/>
          <w:i w:val="false"/>
          <w:iCs w:val="false"/>
          <w:sz w:val="24"/>
          <w:szCs w:val="24"/>
          <w:lang w:val="mn-MN"/>
        </w:rPr>
        <w:t xml:space="preserve">Энэ өмнө нь томилсон тогтоол нь Авлигатай тэмцэх газрын даргаар Наваансүрэнгийн Ганболд, дэд даргаар Батын Хурцыг тус тус томилсугай гээд л тийм тогтоолтой.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22.1 дээр бол өөрөө хүсэлт гаргасан гэж байгаа юм. Тэрүүгээрээ явчихаж байгаа юм. Тийм.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Эсвэл биеийн эрүүл мэнд, эсвэл бүрэн эрхийн хугацаа гэсэн гуравхан л юм байгаа юм. Тэгэхээр өөр албан тушаал гэж байхгүй.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22.1.1 нь хүсэлт гэдгээр л байгаа юм. Хуулиндаа нийцүүлсэн байна. Тийм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Ш.Түвдэндорж: - </w:t>
      </w:r>
      <w:r>
        <w:rPr>
          <w:rStyle w:val="style15"/>
          <w:rFonts w:cs="Arial"/>
          <w:b w:val="false"/>
          <w:bCs w:val="false"/>
          <w:i w:val="false"/>
          <w:iCs w:val="false"/>
          <w:sz w:val="24"/>
          <w:szCs w:val="24"/>
          <w:lang w:val="mn-MN"/>
        </w:rPr>
        <w:t xml:space="preserve">Хуулиндаа нийцүүлсэн. Тийм.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Агуулга нь бол тийм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Ш.Түвдэндорж: - </w:t>
      </w:r>
      <w:r>
        <w:rPr>
          <w:rStyle w:val="style15"/>
          <w:rFonts w:cs="Arial"/>
          <w:b w:val="false"/>
          <w:bCs w:val="false"/>
          <w:i w:val="false"/>
          <w:iCs w:val="false"/>
          <w:sz w:val="24"/>
          <w:szCs w:val="24"/>
          <w:lang w:val="mn-MN"/>
        </w:rPr>
        <w:t xml:space="preserve">Тийм. За асуулт дууслаа. Санал хэлэх гишүүн байна уу? Санал хэлэх гишүүн. За С.Эрдэнэ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З.Баянсэлэнгэ: - </w:t>
      </w:r>
      <w:r>
        <w:rPr>
          <w:rStyle w:val="style15"/>
          <w:rFonts w:cs="Arial"/>
          <w:b w:val="false"/>
          <w:bCs w:val="false"/>
          <w:i w:val="false"/>
          <w:iCs w:val="false"/>
          <w:sz w:val="24"/>
          <w:szCs w:val="24"/>
          <w:lang w:val="mn-MN"/>
        </w:rPr>
        <w:t xml:space="preserve">Кнопоо дарчихсан байгаа шүү. Дарга 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Ш.Түвдэндорж: - </w:t>
      </w:r>
      <w:r>
        <w:rPr>
          <w:rStyle w:val="style15"/>
          <w:rFonts w:cs="Arial"/>
          <w:b w:val="false"/>
          <w:bCs w:val="false"/>
          <w:i w:val="false"/>
          <w:iCs w:val="false"/>
          <w:sz w:val="24"/>
          <w:szCs w:val="24"/>
          <w:lang w:val="mn-MN"/>
        </w:rPr>
        <w:t xml:space="preserve">Өө за. З.Баянсэлэнгэ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З.Баянсэлэнгэ: - </w:t>
      </w:r>
      <w:r>
        <w:rPr>
          <w:rStyle w:val="style15"/>
          <w:rFonts w:cs="Arial"/>
          <w:b w:val="false"/>
          <w:bCs w:val="false"/>
          <w:i w:val="false"/>
          <w:iCs w:val="false"/>
          <w:sz w:val="24"/>
          <w:szCs w:val="24"/>
          <w:lang w:val="mn-MN"/>
        </w:rPr>
        <w:t xml:space="preserve">За Б.Хурц дарга Авлигатай тэмцэх газрын дэд даргаар ажиллаж байгаад ямар байсан Тагнуулын ерөнхий газрын даргаар дэвшин ажиллахаар ингээд тушаал гарсан байна. Тэгээд хамгийн гол нь баяр хүргэж одоо нэг их гоё сайхан үг хэлэх нь яах вэ. Ямар ч байсан энэ Тагнуулын ерөнхий газарт бас удаан жил ажиллаж байсан, ажлаа мэддэг, туршлага бас байгаа. Тэр үүднээсээ Үндсэн хуулиа дээдэл хүний эрх, эрх чөлөөг хангаж, шударга ёсыг эрхэмлэж ажиллаасай гэж хувиасаа хүсье дээ. Тэгээд одоо юу хэлэх вэ дээ. Гол нь тэр хүний эрхтэй холбоотой, шударга ёстой холбоотой асуудал дээр анхаарал хандуулаасай. За цаашлаад Авлигатай тэмцэх газар, Тагнуул хоёр маань өөр өөр статустай байгууллага. Тэр үүднээсээ Авлигатай тэмцэх газрын дэд даргаар ажиллаж байсан албан тушаал Тагнуул дээр одоо ашиглагдахгүй байх гэж бас бодож байгаа. Анхаарч ажиллаарай.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Ш.Түвдэндорж: - </w:t>
      </w:r>
      <w:r>
        <w:rPr>
          <w:rStyle w:val="style15"/>
          <w:rFonts w:cs="Arial"/>
          <w:b w:val="false"/>
          <w:bCs w:val="false"/>
          <w:i w:val="false"/>
          <w:iCs w:val="false"/>
          <w:sz w:val="24"/>
          <w:szCs w:val="24"/>
          <w:lang w:val="mn-MN"/>
        </w:rPr>
        <w:t xml:space="preserve">За С.Эрдэнэ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С.Эрдэнэ: - </w:t>
      </w:r>
      <w:r>
        <w:rPr>
          <w:rStyle w:val="style15"/>
          <w:rFonts w:cs="Arial"/>
          <w:b w:val="false"/>
          <w:bCs w:val="false"/>
          <w:i w:val="false"/>
          <w:iCs w:val="false"/>
          <w:sz w:val="24"/>
          <w:szCs w:val="24"/>
          <w:lang w:val="mn-MN"/>
        </w:rPr>
        <w:t xml:space="preserve">Би зүгээр товчхон ганц үг хэлэх гэсэн юм. Яах вэ өнөөдөр ингээд Авлигатай тэмцэх газрын асуудал бол улс орны хэмжээнд үндэсний эдийн засаг, энэ төрийн аюулгүй байдал, төрийн албан хаагчдын ёс зүйн хэм хэмжээ гээд олон голдуу дандаа дотоод голдуу асуудлаа хариуцаж байсан.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Одоо бол үйл ажиллагааны цар хүрээ нэлээн өргөн болоод дотоод гадаад хүчин зүйл, улс орны үндэсний аюулгүй байдал гээд асуудал бол нэлээн өргөн хүрээнд л болж байна л даа. Тэгэхээр энэ дээр бас одоо Б.Хурц даргыг би одоогийн байгаа түвшнөөс нэгдүгээрт бууруулахгүй байх. Хоёрдугаарт, цаашаагаа улам одоо энэ Тагнуулын ерөнхий газрын хэрэгжүүлэх үйл ажиллагаан дээр улам илүү одоо ач холбогдол өгч, одоо хууль, ном дүрэм, олон улсын хүрээнд бас мөрддөг тэр дүрэм журам, одоо бүх юмны хүрээнд илүү идэвх чармайлт гаргаж ажиллаарай гэж ингэж хэлмээр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Би бас Засгийн газрын хуралдаан дээр хэлж байсан. Ер нь сүүлийн үед Монгол орны нийгэм, эдийн засаг, улс төрийн харилцаанд урьд өмнө нь огт байгаагүй цоо шинэ хандлагууд бол маш их нэмэгдэж гарч ирсэн. Одоо зарим нь бол одоо ч гэсэн хууль эрх зүйн зохицуулалт нь хийгдээгүй асуудлууд байгаа. Тэгэхээр энэ дээр яаж ажиллах вэ гэдэг арга тактикаа маш сайн боловсруулж. Тэгээд өнөөдөр нөгөө Монгол төрийн үндэсний аюулгүй байдал, Монгол төрийн бат бэх байх тэр байдлыг хангаж ажиллах тал дээр ур ухаанаа уралдуулж ажиллаарай гэж ингэж захиж хэлмээр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Тэгээд дахиад хэлэхэд эрх зүйн зохицуулалт хийгдээгүй мөртлөө урьд өмнө нь Монголд байгаагүй маш олон харилцаанууд бий болсон байгаа шүү. Тэгээд энэ дээр гол анхаарлаа хандуулж ажиллаарай гэж ингэж хэлэх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Ш.Түвдэндорж: - </w:t>
      </w:r>
      <w:r>
        <w:rPr>
          <w:rStyle w:val="style15"/>
          <w:rFonts w:cs="Arial"/>
          <w:b w:val="false"/>
          <w:bCs w:val="false"/>
          <w:i w:val="false"/>
          <w:iCs w:val="false"/>
          <w:sz w:val="24"/>
          <w:szCs w:val="24"/>
          <w:lang w:val="mn-MN"/>
        </w:rPr>
        <w:t xml:space="preserve">За өөр саналтай гишүүн байна уу? За санал байхгүй бол.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Авлигатай тэмцэх газрын дарга, дэд даргыг бол 3 үндэслэлээр чөлөөлдөг. Энэ нь өөрөө хүсэлт гаргасан байвал. Хоёрт, биеийн эрүүл мэндийн байдлаас үүрэгт ажлаа гүйцэтгэх боломжгүй болсон бол. Бүрэн эрхийн хугацаа дуусгавар болсон гэсэн гурван зүйлээр.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Тэгэхээр би 22.1.1 буюу өөрийн хүсэлт гаргасан. За энэ өөрийн хүсэлт дээр бол Монгол Улсын Их Хурлын дарга З.Энхболд танаа.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Миний бие Б.Хурц 2011 оны 11 дүгээр сарын 17-ны өдрөөс Авлигатай тэмцэх газрын дэд даргаар томилогдон ажиллаж байна. Энэ хугацаанд хуулиар олгогдсон эрх үүргийн дагуу тус байгууллагын үйл ажиллагааг удирдан зохион байгуулж ирлээ. Би өөрийн хүсэлтээр чөлөөлөгдөх хүсэлтэй байгаа тул Авлигын эсрэг хуулийн Хорин хоёрдугаар зүйлийн 22.1.1-д заасны дагуу Авлигатай тэмцэх газрын дэд даргын үүрэгт ажлаас чөлөөлж өгнө үү гээд 2014 оны 11 сарын 26-наар.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Уг нь бас ийм өргөдөл гаргасан байгаа. За одоо санал хураалт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Авлигын эсрэг хуулийн 22 дугаар зүйлийн 22.1.1 дэх заалтыг үндэслэн Батын Хурцыг Авлигатай тэмцэх газрын дэд даргын үүрэг</w:t>
      </w:r>
      <w:r>
        <w:rPr>
          <w:rStyle w:val="style15"/>
          <w:rFonts w:cs="Arial"/>
          <w:b w:val="false"/>
          <w:bCs w:val="false"/>
          <w:i w:val="false"/>
          <w:iCs w:val="false"/>
          <w:sz w:val="24"/>
          <w:szCs w:val="24"/>
          <w:lang w:val="mn-MN"/>
        </w:rPr>
        <w:t>т</w:t>
      </w:r>
      <w:r>
        <w:rPr>
          <w:rStyle w:val="style15"/>
          <w:rFonts w:cs="Arial"/>
          <w:b w:val="false"/>
          <w:bCs w:val="false"/>
          <w:i w:val="false"/>
          <w:iCs w:val="false"/>
          <w:sz w:val="24"/>
          <w:szCs w:val="24"/>
          <w:lang w:val="mn-MN"/>
        </w:rPr>
        <w:t xml:space="preserve"> ажлаас чөлөөлөхийг дэмжье гэсэн санал хураалтаар санал хураалт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Нийт 12 гишүүн орсноос зөвшөөрсөн 11, татгалзсан 1.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Батын Хурцыг Авлигатай тэмцэх газрын дэд даргын үүрэгт ажлаас чөлөөлөх тухай Улсын Их Хурлын тогтоолын төслийг та бүхэнд уншиж танилцуулъя. Монгол Улсын Их Хурлын тогтоол.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Б.Хурцыг Авлигатай тэмцэх газрын дэд даргын үүрэгт ажлаас чөлөөлөх тухай.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Авлигын эсрэг хуулийн Хорин хоёрдугаар зүйлийн 22.1.1 дэх заалтыг үндэслэн Монгол Улсын Их Хурлаас ТОГТООХ нь:</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Нэг. Батын Хурцыг Авлигатай тэмцэх газрын дэд даргын үүрэгт ажлаас чөлөөлсүгэй.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Хоёр. Энэ тогтоолыг 2014 оны 11 дүгээр сарын 27-ны өдрөөс эхлэн дагаж мөрдсүгэй.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Тогтоолын төсөлтэй холбогдуулан санал хэлэх гишүүн байна уу? За тогтоолыг батлах саналтай гишүүд. Энэ ил санал хураалт явуулж. За Байнгын хорооны санал, дүгнэлтийг.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Тэгвэл тогтоол батлагдсанд тооцлоо. Байнгын хорооны санал, дүгнэлтийг Улсын Их Хурлын чуулганы нэгдсэн хуралдаанд илтгэх гишүүнийг. За би өөрөө илтгэчихье. За ингээд Байнгын хорооны хуралдаан хэлэлцэх асуудал дууссан тул хаасныг мэдэгдье. Гишүүдэд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9 минут үргэлжилж, 12</w:t>
      </w:r>
      <w:r>
        <w:rPr>
          <w:rFonts w:cs="Arial"/>
          <w:b/>
          <w:bCs/>
          <w:i/>
          <w:iCs/>
          <w:sz w:val="24"/>
          <w:szCs w:val="24"/>
          <w:lang w:val="ms-MY"/>
        </w:rPr>
        <w:t xml:space="preserve"> цаг </w:t>
      </w:r>
      <w:r>
        <w:rPr>
          <w:rFonts w:cs="Arial"/>
          <w:b/>
          <w:bCs/>
          <w:i/>
          <w:iCs/>
          <w:sz w:val="24"/>
          <w:szCs w:val="24"/>
          <w:lang w:val="mn-MN"/>
        </w:rPr>
        <w:t xml:space="preserve">40 минутад </w:t>
      </w:r>
      <w:r>
        <w:rPr>
          <w:rFonts w:cs="Arial"/>
          <w:b/>
          <w:bCs/>
          <w:i/>
          <w:iCs/>
          <w:sz w:val="24"/>
          <w:szCs w:val="24"/>
          <w:lang w:val="ms-MY"/>
        </w:rPr>
        <w:t>өндөрлөв.</w:t>
      </w:r>
    </w:p>
    <w:p>
      <w:pPr>
        <w:pStyle w:val="style0"/>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3"/>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3"/>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32" w:right="81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696" w:val="center"/>
        <w:tab w:leader="none" w:pos="939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2014-11-29T10:48:58.10Z</dcterms:created>
  <cp:lastPrinted>2014-12-03T09:11:56.09Z</cp:lastPrinted>
  <cp:revision>0</cp:revision>
</cp:coreProperties>
</file>