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C13FA" w14:textId="77777777" w:rsidR="005A13BB" w:rsidRPr="002C68A3" w:rsidRDefault="005A13BB" w:rsidP="005A13B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2C65771A" wp14:editId="75F7C55E">
            <wp:simplePos x="0" y="0"/>
            <wp:positionH relativeFrom="column">
              <wp:posOffset>2444543</wp:posOffset>
            </wp:positionH>
            <wp:positionV relativeFrom="paragraph">
              <wp:posOffset>-489334</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6708078" w14:textId="77777777" w:rsidR="005A13BB" w:rsidRDefault="005A13BB" w:rsidP="005A13BB">
      <w:pPr>
        <w:pStyle w:val="Title"/>
        <w:ind w:right="-360"/>
        <w:rPr>
          <w:rFonts w:ascii="Times New Roman" w:hAnsi="Times New Roman"/>
          <w:sz w:val="32"/>
          <w:szCs w:val="32"/>
        </w:rPr>
      </w:pPr>
    </w:p>
    <w:p w14:paraId="74FD488B" w14:textId="77777777" w:rsidR="005A13BB" w:rsidRDefault="005A13BB" w:rsidP="005A13BB">
      <w:pPr>
        <w:pStyle w:val="Title"/>
        <w:ind w:right="-360"/>
        <w:rPr>
          <w:rFonts w:ascii="Times New Roman" w:hAnsi="Times New Roman"/>
          <w:sz w:val="32"/>
          <w:szCs w:val="32"/>
        </w:rPr>
      </w:pPr>
    </w:p>
    <w:p w14:paraId="3D5BA4CE" w14:textId="77777777" w:rsidR="005A13BB" w:rsidRDefault="005A13BB" w:rsidP="005A13BB">
      <w:pPr>
        <w:pStyle w:val="Title"/>
        <w:ind w:right="-360"/>
        <w:rPr>
          <w:rFonts w:ascii="Times New Roman" w:hAnsi="Times New Roman"/>
          <w:sz w:val="32"/>
          <w:szCs w:val="32"/>
        </w:rPr>
      </w:pPr>
    </w:p>
    <w:p w14:paraId="1BE74274" w14:textId="77777777" w:rsidR="005A13BB" w:rsidRPr="00661028" w:rsidRDefault="005A13BB" w:rsidP="005A13B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1ED0D72" w14:textId="77777777" w:rsidR="005A13BB" w:rsidRPr="002C68A3" w:rsidRDefault="005A13BB" w:rsidP="005A13BB">
      <w:pPr>
        <w:jc w:val="both"/>
        <w:rPr>
          <w:rFonts w:ascii="Arial" w:hAnsi="Arial" w:cs="Arial"/>
          <w:color w:val="3366FF"/>
          <w:lang w:val="ms-MY"/>
        </w:rPr>
      </w:pPr>
    </w:p>
    <w:p w14:paraId="504F8CC2" w14:textId="7CE61BD2" w:rsidR="004D70DE" w:rsidRPr="005A13BB" w:rsidRDefault="005A13BB" w:rsidP="005A13BB">
      <w:pPr>
        <w:jc w:val="both"/>
        <w:rPr>
          <w:rStyle w:val="Strong"/>
          <w:rFonts w:ascii="Arial" w:hAnsi="Arial" w:cs="Arial"/>
          <w:b w:val="0"/>
          <w:bCs w:val="0"/>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10</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1</w:t>
      </w:r>
      <w:bookmarkStart w:id="0" w:name="_GoBack"/>
      <w:bookmarkEnd w:id="0"/>
      <w:r>
        <w:rPr>
          <w:rFonts w:ascii="Arial" w:hAnsi="Arial" w:cs="Arial"/>
          <w:color w:val="3366FF"/>
          <w:sz w:val="20"/>
          <w:szCs w:val="20"/>
          <w:u w:val="single"/>
        </w:rPr>
        <w:t>0</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14:paraId="116249A6" w14:textId="77777777" w:rsidR="004D70DE" w:rsidRPr="000D7717" w:rsidRDefault="004D70DE" w:rsidP="004D70DE">
      <w:pPr>
        <w:pStyle w:val="NormalWeb"/>
        <w:spacing w:before="0" w:beforeAutospacing="0" w:after="0" w:afterAutospacing="0"/>
        <w:rPr>
          <w:rStyle w:val="Strong"/>
          <w:rFonts w:ascii="Arial" w:hAnsi="Arial" w:cs="Arial"/>
        </w:rPr>
      </w:pPr>
    </w:p>
    <w:p w14:paraId="387FC4A8" w14:textId="77777777" w:rsidR="004D70DE" w:rsidRPr="000D7717" w:rsidRDefault="004D70DE" w:rsidP="004D70DE">
      <w:pPr>
        <w:pStyle w:val="NormalWeb"/>
        <w:spacing w:before="0" w:beforeAutospacing="0" w:after="0" w:afterAutospacing="0" w:line="276" w:lineRule="auto"/>
        <w:rPr>
          <w:rStyle w:val="Strong"/>
          <w:rFonts w:ascii="Arial" w:hAnsi="Arial" w:cs="Arial"/>
        </w:rPr>
      </w:pPr>
    </w:p>
    <w:p w14:paraId="0D08987B" w14:textId="79E3122C" w:rsidR="00AD602C" w:rsidRPr="000D7717" w:rsidRDefault="00C044CB" w:rsidP="004D70DE">
      <w:pPr>
        <w:pStyle w:val="NormalWeb"/>
        <w:spacing w:before="0" w:beforeAutospacing="0" w:after="0" w:afterAutospacing="0"/>
        <w:jc w:val="center"/>
        <w:rPr>
          <w:rStyle w:val="Strong"/>
          <w:rFonts w:ascii="Arial" w:hAnsi="Arial" w:cs="Arial"/>
        </w:rPr>
      </w:pPr>
      <w:r w:rsidRPr="000D7717">
        <w:rPr>
          <w:rStyle w:val="Strong"/>
          <w:rFonts w:ascii="Arial" w:hAnsi="Arial" w:cs="Arial"/>
        </w:rPr>
        <w:t xml:space="preserve">    </w:t>
      </w:r>
      <w:r w:rsidR="00AD602C" w:rsidRPr="000D7717">
        <w:rPr>
          <w:rStyle w:val="Strong"/>
          <w:rFonts w:ascii="Arial" w:hAnsi="Arial" w:cs="Arial"/>
        </w:rPr>
        <w:t>ЭРҮҮГИЙН ХУУЛЬД НЭМЭЛТ, ӨӨРЧЛӨЛТ</w:t>
      </w:r>
    </w:p>
    <w:p w14:paraId="1DCE4BA0" w14:textId="3A1F7752" w:rsidR="00AD602C" w:rsidRPr="000D7717" w:rsidRDefault="00C044CB" w:rsidP="004D70DE">
      <w:pPr>
        <w:pStyle w:val="NormalWeb"/>
        <w:spacing w:before="0" w:beforeAutospacing="0" w:after="0" w:afterAutospacing="0"/>
        <w:jc w:val="center"/>
        <w:rPr>
          <w:rFonts w:ascii="Arial" w:hAnsi="Arial" w:cs="Arial"/>
        </w:rPr>
      </w:pPr>
      <w:r w:rsidRPr="000D7717">
        <w:rPr>
          <w:rStyle w:val="Strong"/>
          <w:rFonts w:ascii="Arial" w:hAnsi="Arial" w:cs="Arial"/>
        </w:rPr>
        <w:t xml:space="preserve">  </w:t>
      </w:r>
      <w:r w:rsidR="00AD602C" w:rsidRPr="000D7717">
        <w:rPr>
          <w:rStyle w:val="Strong"/>
          <w:rFonts w:ascii="Arial" w:hAnsi="Arial" w:cs="Arial"/>
        </w:rPr>
        <w:t>ОРУУЛАХ ТУХАЙ</w:t>
      </w:r>
    </w:p>
    <w:p w14:paraId="0E3801A9" w14:textId="77777777" w:rsidR="00AD602C" w:rsidRPr="000D7717" w:rsidRDefault="00AD602C" w:rsidP="004D70DE">
      <w:pPr>
        <w:pStyle w:val="NormalWeb"/>
        <w:spacing w:before="0" w:beforeAutospacing="0" w:after="0" w:afterAutospacing="0" w:line="360" w:lineRule="auto"/>
        <w:jc w:val="both"/>
        <w:rPr>
          <w:rFonts w:ascii="Arial" w:hAnsi="Arial" w:cs="Arial"/>
        </w:rPr>
      </w:pPr>
      <w:r w:rsidRPr="000D7717">
        <w:rPr>
          <w:rFonts w:ascii="Arial" w:hAnsi="Arial" w:cs="Arial"/>
        </w:rPr>
        <w:t> </w:t>
      </w:r>
    </w:p>
    <w:p w14:paraId="2155BE53" w14:textId="77777777" w:rsidR="00CB65FF" w:rsidRPr="000D7717" w:rsidRDefault="00AD602C" w:rsidP="00CB65FF">
      <w:pPr>
        <w:pStyle w:val="NormalWeb"/>
        <w:spacing w:before="0" w:beforeAutospacing="0" w:after="0" w:afterAutospacing="0"/>
        <w:jc w:val="both"/>
        <w:rPr>
          <w:rFonts w:ascii="Arial" w:hAnsi="Arial" w:cs="Arial"/>
        </w:rPr>
      </w:pPr>
      <w:r w:rsidRPr="000D7717">
        <w:rPr>
          <w:rStyle w:val="Strong"/>
          <w:rFonts w:ascii="Arial" w:hAnsi="Arial" w:cs="Arial"/>
        </w:rPr>
        <w:tab/>
      </w:r>
      <w:r w:rsidR="00CB65FF" w:rsidRPr="000D7717">
        <w:rPr>
          <w:rStyle w:val="Strong"/>
          <w:rFonts w:ascii="Arial" w:hAnsi="Arial" w:cs="Arial"/>
        </w:rPr>
        <w:t>1 дүгээр зүйл.</w:t>
      </w:r>
      <w:r w:rsidR="00CB65FF" w:rsidRPr="000D7717">
        <w:rPr>
          <w:rFonts w:ascii="Arial" w:hAnsi="Arial" w:cs="Arial"/>
        </w:rPr>
        <w:t>2015 оны 12 дугаар сарын 03-ны өдөр баталсан Эрүүгийн хуулийн 29.8 дугаар зүйлд доор дурдсан агуулгатай тайлбар нэмсүгэй:</w:t>
      </w:r>
    </w:p>
    <w:p w14:paraId="717327FA" w14:textId="77777777" w:rsidR="00CB65FF" w:rsidRPr="000D7717" w:rsidRDefault="00CB65FF" w:rsidP="00CB65FF">
      <w:pPr>
        <w:pStyle w:val="NormalWeb"/>
        <w:spacing w:before="0" w:beforeAutospacing="0" w:after="0" w:afterAutospacing="0"/>
        <w:jc w:val="both"/>
        <w:rPr>
          <w:rFonts w:ascii="Arial" w:hAnsi="Arial" w:cs="Arial"/>
        </w:rPr>
      </w:pPr>
    </w:p>
    <w:p w14:paraId="3D4F2EB0" w14:textId="2B851A51" w:rsidR="00AD602C" w:rsidRPr="000D7717" w:rsidRDefault="00CB65FF" w:rsidP="00CB65FF">
      <w:pPr>
        <w:pStyle w:val="NormalWeb"/>
        <w:tabs>
          <w:tab w:val="left" w:pos="709"/>
        </w:tabs>
        <w:spacing w:before="0" w:beforeAutospacing="0" w:after="0" w:afterAutospacing="0"/>
        <w:jc w:val="both"/>
        <w:rPr>
          <w:rFonts w:ascii="Arial" w:hAnsi="Arial" w:cs="Arial"/>
        </w:rPr>
      </w:pPr>
      <w:r w:rsidRPr="000D7717">
        <w:rPr>
          <w:rFonts w:ascii="Arial" w:hAnsi="Arial" w:cs="Arial"/>
        </w:rPr>
        <w:tab/>
        <w:t xml:space="preserve"> “Тайлбар: - Энэ зүйлд заасан “объект барьцаалсан” гэж тээврийн хэрэгсэл, барилга байгууламж, хүн амын амьдралыг хангах болон олон улсын хамгаалалтад байдаг объект</w:t>
      </w:r>
      <w:r w:rsidR="00717B0B" w:rsidRPr="000D7717">
        <w:rPr>
          <w:rFonts w:ascii="Arial" w:hAnsi="Arial" w:cs="Arial"/>
        </w:rPr>
        <w:t xml:space="preserve"> барьцаалсан үйлдлийг ойлгоно.”</w:t>
      </w:r>
    </w:p>
    <w:p w14:paraId="291F17B9" w14:textId="77777777" w:rsidR="00CB65FF" w:rsidRPr="000D7717" w:rsidRDefault="00CB65FF" w:rsidP="00CB65FF">
      <w:pPr>
        <w:pStyle w:val="NormalWeb"/>
        <w:tabs>
          <w:tab w:val="left" w:pos="709"/>
        </w:tabs>
        <w:spacing w:before="0" w:beforeAutospacing="0" w:after="0" w:afterAutospacing="0"/>
        <w:jc w:val="both"/>
        <w:rPr>
          <w:rFonts w:ascii="Arial" w:hAnsi="Arial" w:cs="Arial"/>
        </w:rPr>
      </w:pPr>
    </w:p>
    <w:p w14:paraId="541AB386" w14:textId="2799A932" w:rsidR="00CB65FF" w:rsidRPr="000D7717" w:rsidRDefault="00CB65FF" w:rsidP="00CB65FF">
      <w:pPr>
        <w:pStyle w:val="NormalWeb"/>
        <w:tabs>
          <w:tab w:val="left" w:pos="709"/>
        </w:tabs>
        <w:spacing w:before="0" w:beforeAutospacing="0" w:after="0" w:afterAutospacing="0"/>
        <w:jc w:val="both"/>
        <w:rPr>
          <w:rFonts w:ascii="Arial" w:hAnsi="Arial" w:cs="Arial"/>
        </w:rPr>
      </w:pPr>
      <w:r w:rsidRPr="000D7717">
        <w:rPr>
          <w:rFonts w:ascii="Arial" w:hAnsi="Arial" w:cs="Arial"/>
          <w:b/>
        </w:rPr>
        <w:tab/>
        <w:t>2 дугаар зүйл.</w:t>
      </w:r>
      <w:r w:rsidRPr="000D7717">
        <w:rPr>
          <w:rFonts w:ascii="Arial" w:hAnsi="Arial" w:cs="Arial"/>
        </w:rPr>
        <w:t>Эрүүгийн хуулийн 29.11 дүгээр зүйлийн 1 дэх хэсгийн “хуримтлуулсан,” гэсний дараа “өөрчилсөн,” гэж нэмсүгэй.</w:t>
      </w:r>
    </w:p>
    <w:p w14:paraId="4CFC9F2E" w14:textId="77777777" w:rsidR="00CB65FF" w:rsidRPr="000D7717" w:rsidRDefault="00CB65FF" w:rsidP="00CB65FF">
      <w:pPr>
        <w:pStyle w:val="NormalWeb"/>
        <w:tabs>
          <w:tab w:val="left" w:pos="709"/>
        </w:tabs>
        <w:spacing w:before="0" w:beforeAutospacing="0" w:after="0" w:afterAutospacing="0"/>
        <w:jc w:val="both"/>
        <w:rPr>
          <w:rFonts w:ascii="Arial" w:hAnsi="Arial" w:cs="Arial"/>
          <w:b/>
        </w:rPr>
      </w:pPr>
    </w:p>
    <w:p w14:paraId="136D93E9" w14:textId="37015BE3" w:rsidR="001676B2" w:rsidRPr="000D7717" w:rsidRDefault="001676B2" w:rsidP="001676B2">
      <w:pPr>
        <w:spacing w:after="0" w:line="240" w:lineRule="auto"/>
        <w:ind w:firstLine="720"/>
        <w:jc w:val="both"/>
        <w:rPr>
          <w:rFonts w:ascii="Arial" w:hAnsi="Arial" w:cs="Arial"/>
          <w:sz w:val="24"/>
          <w:szCs w:val="24"/>
        </w:rPr>
      </w:pPr>
      <w:r w:rsidRPr="000D7717">
        <w:rPr>
          <w:rFonts w:ascii="Arial" w:hAnsi="Arial" w:cs="Arial"/>
          <w:b/>
          <w:sz w:val="24"/>
          <w:szCs w:val="24"/>
        </w:rPr>
        <w:t>3 дугаар зүйл.</w:t>
      </w:r>
      <w:r w:rsidRPr="000D7717">
        <w:rPr>
          <w:rFonts w:ascii="Arial" w:hAnsi="Arial" w:cs="Arial"/>
          <w:sz w:val="24"/>
          <w:szCs w:val="24"/>
        </w:rPr>
        <w:t>Эрүүгийн хуулийн дараах зүйл, хэсгийг доор дурдсанаар өөрчлөн найруулсугай:</w:t>
      </w:r>
    </w:p>
    <w:p w14:paraId="6CC2E918" w14:textId="77777777" w:rsidR="001676B2" w:rsidRPr="000D7717" w:rsidRDefault="001676B2" w:rsidP="001676B2">
      <w:pPr>
        <w:pStyle w:val="NormalWeb"/>
        <w:spacing w:before="0" w:beforeAutospacing="0" w:after="0" w:afterAutospacing="0"/>
        <w:ind w:left="720" w:firstLine="720"/>
        <w:jc w:val="both"/>
        <w:rPr>
          <w:rStyle w:val="Strong"/>
          <w:rFonts w:ascii="Arial" w:hAnsi="Arial" w:cs="Arial"/>
          <w:u w:val="single"/>
        </w:rPr>
      </w:pPr>
    </w:p>
    <w:p w14:paraId="6DCFFBD4" w14:textId="77777777" w:rsidR="001676B2" w:rsidRPr="000D7717" w:rsidRDefault="001676B2" w:rsidP="001676B2">
      <w:pPr>
        <w:pStyle w:val="NormalWeb"/>
        <w:spacing w:before="0" w:beforeAutospacing="0" w:after="0" w:afterAutospacing="0"/>
        <w:ind w:left="720" w:firstLine="720"/>
        <w:jc w:val="both"/>
        <w:rPr>
          <w:rFonts w:ascii="Arial" w:hAnsi="Arial" w:cs="Arial"/>
          <w:b/>
          <w:color w:val="FF0000"/>
        </w:rPr>
      </w:pPr>
      <w:r w:rsidRPr="000D7717">
        <w:rPr>
          <w:rStyle w:val="Strong"/>
          <w:rFonts w:ascii="Arial" w:hAnsi="Arial" w:cs="Arial"/>
        </w:rPr>
        <w:t>1/20.2 дугаар зүйл:</w:t>
      </w:r>
    </w:p>
    <w:p w14:paraId="5EFCD7F8" w14:textId="77777777" w:rsidR="001676B2" w:rsidRPr="000D7717" w:rsidRDefault="001676B2" w:rsidP="001676B2">
      <w:pPr>
        <w:pStyle w:val="NormalWeb"/>
        <w:spacing w:before="0" w:beforeAutospacing="0" w:after="0" w:afterAutospacing="0"/>
        <w:ind w:firstLine="720"/>
        <w:jc w:val="both"/>
        <w:rPr>
          <w:rFonts w:ascii="Arial" w:hAnsi="Arial" w:cs="Arial"/>
          <w:b/>
          <w:color w:val="FF0000"/>
        </w:rPr>
      </w:pPr>
    </w:p>
    <w:p w14:paraId="041B2F02" w14:textId="77777777" w:rsidR="001676B2" w:rsidRPr="000D7717" w:rsidRDefault="001676B2" w:rsidP="001676B2">
      <w:pPr>
        <w:pStyle w:val="msghead"/>
        <w:spacing w:before="0" w:beforeAutospacing="0" w:after="0" w:afterAutospacing="0"/>
        <w:ind w:left="720"/>
        <w:jc w:val="both"/>
        <w:rPr>
          <w:rStyle w:val="Strong"/>
          <w:rFonts w:ascii="Arial" w:hAnsi="Arial" w:cs="Arial"/>
        </w:rPr>
      </w:pPr>
      <w:r w:rsidRPr="000D7717">
        <w:rPr>
          <w:rStyle w:val="Strong"/>
          <w:rFonts w:ascii="Arial" w:hAnsi="Arial" w:cs="Arial"/>
        </w:rPr>
        <w:t xml:space="preserve">“20.2 дугаар зүйл.Террорист үйл ажиллагаанд уриалах, түүнийг       </w:t>
      </w:r>
    </w:p>
    <w:p w14:paraId="12D973CF" w14:textId="3668BFA1" w:rsidR="001676B2" w:rsidRPr="000D7717" w:rsidRDefault="001676B2" w:rsidP="001676B2">
      <w:pPr>
        <w:pStyle w:val="msghead"/>
        <w:spacing w:before="0" w:beforeAutospacing="0" w:after="0" w:afterAutospacing="0"/>
        <w:ind w:left="720"/>
        <w:jc w:val="both"/>
        <w:rPr>
          <w:rStyle w:val="Strong"/>
          <w:rFonts w:ascii="Arial" w:hAnsi="Arial" w:cs="Arial"/>
        </w:rPr>
      </w:pPr>
      <w:r w:rsidRPr="000D7717">
        <w:rPr>
          <w:rStyle w:val="Strong"/>
          <w:rFonts w:ascii="Arial" w:hAnsi="Arial" w:cs="Arial"/>
        </w:rPr>
        <w:t xml:space="preserve">                                       нийтийн өмнө зөвтгөх, хатгах</w:t>
      </w:r>
    </w:p>
    <w:p w14:paraId="3B3C7808" w14:textId="77777777" w:rsidR="001676B2" w:rsidRPr="000D7717" w:rsidRDefault="001676B2" w:rsidP="001676B2">
      <w:pPr>
        <w:pStyle w:val="msghead"/>
        <w:spacing w:before="0" w:beforeAutospacing="0" w:after="0" w:afterAutospacing="0"/>
        <w:jc w:val="both"/>
        <w:rPr>
          <w:rFonts w:ascii="Arial" w:hAnsi="Arial" w:cs="Arial"/>
          <w:b/>
          <w:u w:val="single"/>
        </w:rPr>
      </w:pPr>
    </w:p>
    <w:p w14:paraId="19D5AEB7" w14:textId="77777777" w:rsidR="001676B2" w:rsidRPr="000D7717" w:rsidRDefault="001676B2" w:rsidP="001676B2">
      <w:pPr>
        <w:pStyle w:val="NormalWeb"/>
        <w:spacing w:before="0" w:beforeAutospacing="0" w:after="0" w:afterAutospacing="0"/>
        <w:ind w:firstLine="720"/>
        <w:jc w:val="both"/>
        <w:rPr>
          <w:rFonts w:ascii="Arial" w:hAnsi="Arial" w:cs="Arial"/>
        </w:rPr>
      </w:pPr>
      <w:r w:rsidRPr="000D7717">
        <w:rPr>
          <w:rFonts w:ascii="Arial" w:hAnsi="Arial" w:cs="Arial"/>
        </w:rPr>
        <w:t>1.Терроризмын суртал ухуулга явуулсан, эсхүл түүнийг дэлгэрүүлсэн, эсхүл террорист үйл ажиллагаа явуулахыг уриалсан, эсхүл олон нийтийн өмнө зөвтгөсөн, эсхүл бусад этгээдийг хатгасан бол нэг жилээс таван жил хүртэл хугацаагаар хорих ял шийтгэнэ.</w:t>
      </w:r>
    </w:p>
    <w:p w14:paraId="359C53DC" w14:textId="77777777" w:rsidR="001676B2" w:rsidRPr="000D7717" w:rsidRDefault="001676B2" w:rsidP="001676B2">
      <w:pPr>
        <w:pStyle w:val="NormalWeb"/>
        <w:spacing w:before="0" w:beforeAutospacing="0" w:after="0" w:afterAutospacing="0"/>
        <w:ind w:firstLine="720"/>
        <w:jc w:val="both"/>
        <w:rPr>
          <w:rFonts w:ascii="Arial" w:hAnsi="Arial" w:cs="Arial"/>
        </w:rPr>
      </w:pPr>
    </w:p>
    <w:p w14:paraId="4949ED4C" w14:textId="77777777" w:rsidR="001676B2" w:rsidRPr="000D7717" w:rsidRDefault="001676B2" w:rsidP="001676B2">
      <w:pPr>
        <w:pStyle w:val="NormalWeb"/>
        <w:spacing w:before="0" w:beforeAutospacing="0" w:after="0" w:afterAutospacing="0"/>
        <w:ind w:firstLine="720"/>
        <w:jc w:val="both"/>
        <w:rPr>
          <w:rFonts w:ascii="Arial" w:hAnsi="Arial" w:cs="Arial"/>
        </w:rPr>
      </w:pPr>
      <w:r w:rsidRPr="000D7717">
        <w:rPr>
          <w:rFonts w:ascii="Arial" w:hAnsi="Arial" w:cs="Arial"/>
        </w:rPr>
        <w:t>2.Энэ зүйлийн 1 дэх хэсэгт заасан гэмт хэргийг төрийн албан хаагч үйлдсэн бол таван жилээс арван хоёр жил хүртэл хугацаагаар хорих ял шийтгэнэ.”</w:t>
      </w:r>
    </w:p>
    <w:p w14:paraId="3421564D" w14:textId="77777777" w:rsidR="001676B2" w:rsidRPr="000D7717" w:rsidRDefault="001676B2" w:rsidP="001676B2">
      <w:pPr>
        <w:spacing w:after="0" w:line="240" w:lineRule="auto"/>
        <w:ind w:firstLine="720"/>
        <w:rPr>
          <w:rFonts w:ascii="Arial" w:hAnsi="Arial" w:cs="Arial"/>
          <w:b/>
          <w:sz w:val="24"/>
          <w:szCs w:val="24"/>
          <w:u w:val="single"/>
        </w:rPr>
      </w:pPr>
    </w:p>
    <w:p w14:paraId="7DF88BB4" w14:textId="77777777" w:rsidR="001676B2" w:rsidRPr="000D7717" w:rsidRDefault="001676B2" w:rsidP="001676B2">
      <w:pPr>
        <w:spacing w:after="0" w:line="240" w:lineRule="auto"/>
        <w:ind w:left="720" w:firstLine="720"/>
        <w:rPr>
          <w:rFonts w:ascii="Arial" w:hAnsi="Arial" w:cs="Arial"/>
          <w:b/>
          <w:sz w:val="24"/>
          <w:szCs w:val="24"/>
        </w:rPr>
      </w:pPr>
      <w:r w:rsidRPr="000D7717">
        <w:rPr>
          <w:rFonts w:ascii="Arial" w:hAnsi="Arial" w:cs="Arial"/>
          <w:b/>
          <w:sz w:val="24"/>
          <w:szCs w:val="24"/>
        </w:rPr>
        <w:t>2/29.8 дугаар зүйлийн 1 дэх хэсэг:</w:t>
      </w:r>
    </w:p>
    <w:p w14:paraId="43148063" w14:textId="77777777" w:rsidR="001676B2" w:rsidRPr="000D7717" w:rsidRDefault="001676B2" w:rsidP="001676B2">
      <w:pPr>
        <w:spacing w:after="0" w:line="240" w:lineRule="auto"/>
        <w:ind w:firstLine="720"/>
        <w:rPr>
          <w:rFonts w:ascii="Arial" w:hAnsi="Arial" w:cs="Arial"/>
          <w:b/>
          <w:sz w:val="24"/>
          <w:szCs w:val="24"/>
          <w:u w:val="single"/>
        </w:rPr>
      </w:pPr>
    </w:p>
    <w:p w14:paraId="048E2385" w14:textId="77777777" w:rsidR="001676B2" w:rsidRPr="000D7717" w:rsidRDefault="001676B2" w:rsidP="001676B2">
      <w:pPr>
        <w:spacing w:after="0" w:line="240" w:lineRule="auto"/>
        <w:ind w:firstLine="720"/>
        <w:jc w:val="both"/>
        <w:rPr>
          <w:rFonts w:ascii="Arial" w:hAnsi="Arial" w:cs="Arial"/>
          <w:sz w:val="24"/>
          <w:szCs w:val="24"/>
        </w:rPr>
      </w:pPr>
      <w:r w:rsidRPr="000D7717">
        <w:rPr>
          <w:rFonts w:ascii="Arial" w:hAnsi="Arial" w:cs="Arial"/>
          <w:sz w:val="24"/>
          <w:szCs w:val="24"/>
        </w:rPr>
        <w:t>“1.Төр, олон улсын байгууллагаас тодорхой шийдвэр гаргуулах, гаргасан шийдвэрийг өөрчлүүлэх, шийдвэр гаргахаас татгалзуулах зорилгоор галт зэвсэг, тэсэрч дэлбэрэх, цөмийн бодис, цацраг идэвхт хаягдал, хими, биологийн хортой, аюултай бодис, цахим сүлжээ, техник хэрэгсэл, тусгайлан бэлтгэсэн зэвсгийн чанартай зүйлийг ашиглаж, ашиглахаар заналхийлж хүн амыг айдаст автуулсан; галдан шатаасан, хүн хулгайлсан, хүн, объект барьцаалсан, хүнийг алсан, эрүүл мэндэд хохирол учруулсан; зэвсэгт мөргөлдөөний нөхцөлд сөргөлдөгч аль нэг талд идэвхтэй оролцоогүй хүний амь бие, бие махбодид халдсан хүнийг арван хоёр жилээс хорин жил хүртэл хугацаагаар, эсхүл бүх насаар хорих ял шийтгэнэ.”</w:t>
      </w:r>
    </w:p>
    <w:p w14:paraId="5BF558B7" w14:textId="77777777" w:rsidR="001676B2" w:rsidRPr="000D7717" w:rsidRDefault="001676B2" w:rsidP="001676B2">
      <w:pPr>
        <w:spacing w:after="0" w:line="240" w:lineRule="auto"/>
        <w:ind w:firstLine="720"/>
        <w:rPr>
          <w:rFonts w:ascii="Arial" w:hAnsi="Arial" w:cs="Arial"/>
          <w:b/>
          <w:sz w:val="24"/>
          <w:szCs w:val="24"/>
          <w:u w:val="single"/>
        </w:rPr>
      </w:pPr>
    </w:p>
    <w:p w14:paraId="6E59558B" w14:textId="77777777" w:rsidR="001676B2" w:rsidRPr="000D7717" w:rsidRDefault="001676B2" w:rsidP="001676B2">
      <w:pPr>
        <w:spacing w:after="0" w:line="240" w:lineRule="auto"/>
        <w:ind w:firstLine="720"/>
        <w:rPr>
          <w:rFonts w:ascii="Arial" w:hAnsi="Arial" w:cs="Arial"/>
          <w:b/>
          <w:sz w:val="24"/>
          <w:szCs w:val="24"/>
        </w:rPr>
      </w:pPr>
      <w:r w:rsidRPr="000D7717">
        <w:rPr>
          <w:rFonts w:ascii="Arial" w:hAnsi="Arial" w:cs="Arial"/>
          <w:b/>
          <w:sz w:val="24"/>
          <w:szCs w:val="24"/>
        </w:rPr>
        <w:tab/>
        <w:t>3/29.10 дугаар зүйл:</w:t>
      </w:r>
    </w:p>
    <w:p w14:paraId="7433B95E" w14:textId="77777777" w:rsidR="001676B2" w:rsidRPr="000D7717" w:rsidRDefault="001676B2" w:rsidP="001676B2">
      <w:pPr>
        <w:spacing w:after="0" w:line="240" w:lineRule="auto"/>
        <w:ind w:firstLine="720"/>
        <w:rPr>
          <w:rFonts w:ascii="Arial" w:hAnsi="Arial" w:cs="Arial"/>
          <w:b/>
          <w:sz w:val="24"/>
          <w:szCs w:val="24"/>
          <w:u w:val="single"/>
        </w:rPr>
      </w:pPr>
    </w:p>
    <w:p w14:paraId="7F5B3F5C" w14:textId="77777777" w:rsidR="001676B2" w:rsidRPr="000D7717" w:rsidRDefault="001676B2" w:rsidP="001676B2">
      <w:pPr>
        <w:pStyle w:val="msghead"/>
        <w:spacing w:before="0" w:beforeAutospacing="0" w:after="0" w:afterAutospacing="0"/>
        <w:ind w:firstLine="720"/>
        <w:rPr>
          <w:rStyle w:val="Strong"/>
          <w:rFonts w:ascii="Arial" w:hAnsi="Arial" w:cs="Arial"/>
        </w:rPr>
      </w:pPr>
      <w:r w:rsidRPr="000D7717">
        <w:rPr>
          <w:rFonts w:ascii="Arial" w:hAnsi="Arial" w:cs="Arial"/>
          <w:b/>
        </w:rPr>
        <w:t>“</w:t>
      </w:r>
      <w:r w:rsidRPr="000D7717">
        <w:rPr>
          <w:rStyle w:val="Strong"/>
          <w:rFonts w:ascii="Arial" w:hAnsi="Arial" w:cs="Arial"/>
        </w:rPr>
        <w:t>29.10 дугаар зүйл.Терроризмыг санхүүжүүлэх</w:t>
      </w:r>
    </w:p>
    <w:p w14:paraId="6A9AA222" w14:textId="77777777" w:rsidR="001676B2" w:rsidRPr="000D7717" w:rsidRDefault="001676B2" w:rsidP="001676B2">
      <w:pPr>
        <w:pStyle w:val="msghead"/>
        <w:spacing w:before="0" w:beforeAutospacing="0" w:after="0" w:afterAutospacing="0"/>
        <w:rPr>
          <w:rFonts w:ascii="Arial" w:hAnsi="Arial" w:cs="Arial"/>
          <w:b/>
          <w:u w:val="single"/>
        </w:rPr>
      </w:pPr>
    </w:p>
    <w:p w14:paraId="494AD9FA" w14:textId="2394A7F0" w:rsidR="001676B2" w:rsidRPr="000D7717" w:rsidRDefault="001676B2" w:rsidP="001676B2">
      <w:pPr>
        <w:spacing w:after="0" w:line="240" w:lineRule="auto"/>
        <w:ind w:firstLine="720"/>
        <w:jc w:val="both"/>
        <w:rPr>
          <w:rFonts w:ascii="Arial" w:hAnsi="Arial" w:cs="Arial"/>
          <w:sz w:val="24"/>
          <w:szCs w:val="24"/>
        </w:rPr>
      </w:pPr>
      <w:r w:rsidRPr="000D7717">
        <w:rPr>
          <w:rFonts w:ascii="Arial" w:hAnsi="Arial" w:cs="Arial"/>
          <w:sz w:val="24"/>
          <w:szCs w:val="24"/>
        </w:rPr>
        <w:t xml:space="preserve">1.Террорист этгээд, террорист үйлдэл, үйл ажиллагаанд зарцуулагдахыг урьдчилан мэдсээр байж шууд </w:t>
      </w:r>
      <w:r w:rsidR="00D03EA7" w:rsidRPr="000D7717">
        <w:rPr>
          <w:rFonts w:ascii="Arial" w:hAnsi="Arial" w:cs="Arial"/>
          <w:sz w:val="24"/>
          <w:szCs w:val="24"/>
        </w:rPr>
        <w:t xml:space="preserve">болон </w:t>
      </w:r>
      <w:r w:rsidRPr="000D7717">
        <w:rPr>
          <w:rFonts w:ascii="Arial" w:hAnsi="Arial" w:cs="Arial"/>
          <w:sz w:val="24"/>
          <w:szCs w:val="24"/>
        </w:rPr>
        <w:t>шууд бусаар эд хөрөнгө хуримтлуулсан, өөрчилсөн, шилжүүлсэн, зарцуулсан бол таван жилээс арван хоёр жил хүртэл хугацаагаар хорих ял шийтгэнэ.</w:t>
      </w:r>
    </w:p>
    <w:p w14:paraId="57992DAD" w14:textId="77777777" w:rsidR="001676B2" w:rsidRPr="000D7717" w:rsidRDefault="001676B2" w:rsidP="001676B2">
      <w:pPr>
        <w:spacing w:after="0" w:line="240" w:lineRule="auto"/>
        <w:ind w:firstLine="720"/>
        <w:jc w:val="both"/>
        <w:rPr>
          <w:rFonts w:ascii="Arial" w:hAnsi="Arial" w:cs="Arial"/>
          <w:sz w:val="24"/>
          <w:szCs w:val="24"/>
        </w:rPr>
      </w:pPr>
    </w:p>
    <w:p w14:paraId="2A7A283B" w14:textId="77777777" w:rsidR="001676B2" w:rsidRPr="000D7717" w:rsidRDefault="001676B2" w:rsidP="001676B2">
      <w:pPr>
        <w:pStyle w:val="NormalWeb"/>
        <w:spacing w:before="0" w:beforeAutospacing="0" w:after="0" w:afterAutospacing="0"/>
        <w:ind w:firstLine="720"/>
        <w:jc w:val="both"/>
        <w:rPr>
          <w:rFonts w:ascii="Arial" w:hAnsi="Arial" w:cs="Arial"/>
        </w:rPr>
      </w:pPr>
      <w:r w:rsidRPr="000D7717">
        <w:rPr>
          <w:rFonts w:ascii="Arial" w:hAnsi="Arial" w:cs="Arial"/>
        </w:rPr>
        <w:t>2.Энэ гэмт хэргийг хориг арга хэмжээг зөрчиж үйлдсэн бол найман жилээс арван таван жил хүртэл хугацаагаар хорих ял шийтгэнэ.</w:t>
      </w:r>
    </w:p>
    <w:p w14:paraId="2B6625DE" w14:textId="77777777" w:rsidR="001676B2" w:rsidRPr="000D7717" w:rsidRDefault="001676B2" w:rsidP="001676B2">
      <w:pPr>
        <w:pStyle w:val="NormalWeb"/>
        <w:spacing w:before="0" w:beforeAutospacing="0" w:after="0" w:afterAutospacing="0"/>
        <w:ind w:firstLine="720"/>
        <w:jc w:val="both"/>
        <w:rPr>
          <w:rFonts w:ascii="Arial" w:hAnsi="Arial" w:cs="Arial"/>
        </w:rPr>
      </w:pPr>
    </w:p>
    <w:p w14:paraId="08C7859A" w14:textId="77777777" w:rsidR="001676B2" w:rsidRPr="000D7717" w:rsidRDefault="001676B2" w:rsidP="001676B2">
      <w:pPr>
        <w:pStyle w:val="NormalWeb"/>
        <w:spacing w:before="0" w:beforeAutospacing="0" w:after="0" w:afterAutospacing="0"/>
        <w:ind w:firstLine="720"/>
        <w:jc w:val="both"/>
        <w:rPr>
          <w:rFonts w:ascii="Arial" w:hAnsi="Arial" w:cs="Arial"/>
        </w:rPr>
      </w:pPr>
      <w:r w:rsidRPr="000D7717">
        <w:rPr>
          <w:rFonts w:ascii="Arial" w:hAnsi="Arial" w:cs="Arial"/>
        </w:rPr>
        <w:t>3.Энэ гэмт хэргийг хориг арга хэмжээг зөрчиж хуулийн этгээдийн нэрийн өмнөөс, хуулийн этгээдийн ашиг сонирхлын төлөө үйлдсэн бол хуулийн этгээдийг албадан татан буулгана.</w:t>
      </w:r>
    </w:p>
    <w:p w14:paraId="695D1127" w14:textId="77777777" w:rsidR="001676B2" w:rsidRPr="000D7717" w:rsidRDefault="001676B2" w:rsidP="001676B2">
      <w:pPr>
        <w:spacing w:after="0" w:line="240" w:lineRule="auto"/>
        <w:jc w:val="both"/>
        <w:rPr>
          <w:rFonts w:ascii="Arial" w:hAnsi="Arial" w:cs="Arial"/>
          <w:sz w:val="24"/>
          <w:szCs w:val="24"/>
        </w:rPr>
      </w:pPr>
    </w:p>
    <w:p w14:paraId="3267E574" w14:textId="77777777" w:rsidR="001676B2" w:rsidRPr="000D7717" w:rsidRDefault="001676B2" w:rsidP="001676B2">
      <w:pPr>
        <w:pStyle w:val="NormalWeb"/>
        <w:spacing w:before="0" w:beforeAutospacing="0" w:after="0" w:afterAutospacing="0"/>
        <w:ind w:firstLine="720"/>
        <w:jc w:val="both"/>
        <w:rPr>
          <w:rFonts w:ascii="Arial" w:hAnsi="Arial" w:cs="Arial"/>
        </w:rPr>
      </w:pPr>
      <w:r w:rsidRPr="000D7717">
        <w:rPr>
          <w:rFonts w:ascii="Arial" w:hAnsi="Arial" w:cs="Arial"/>
        </w:rPr>
        <w:t>4.Энэ зүйлийн 1 дэх хэсэгт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нэг зуун хорин мянган нэгжээс дөрвөн зуун мянган нэгжтэй тэнцэх хэмжээний төгрөгөөр торгоно.</w:t>
      </w:r>
    </w:p>
    <w:p w14:paraId="56DA5646" w14:textId="77777777" w:rsidR="001676B2" w:rsidRPr="000D7717" w:rsidRDefault="001676B2" w:rsidP="001676B2">
      <w:pPr>
        <w:pStyle w:val="NormalWeb"/>
        <w:spacing w:before="0" w:beforeAutospacing="0" w:after="0" w:afterAutospacing="0"/>
        <w:ind w:firstLine="720"/>
        <w:jc w:val="both"/>
        <w:rPr>
          <w:rFonts w:ascii="Arial" w:hAnsi="Arial" w:cs="Arial"/>
        </w:rPr>
      </w:pPr>
    </w:p>
    <w:p w14:paraId="112CB20B" w14:textId="25245F34" w:rsidR="001676B2" w:rsidRPr="000D7717" w:rsidRDefault="001676B2" w:rsidP="001676B2">
      <w:pPr>
        <w:spacing w:after="0" w:line="240" w:lineRule="auto"/>
        <w:jc w:val="both"/>
        <w:rPr>
          <w:rFonts w:ascii="Arial" w:hAnsi="Arial" w:cs="Arial"/>
          <w:sz w:val="24"/>
          <w:szCs w:val="24"/>
        </w:rPr>
      </w:pPr>
      <w:r w:rsidRPr="000D7717">
        <w:rPr>
          <w:rFonts w:ascii="Arial" w:hAnsi="Arial" w:cs="Arial"/>
          <w:sz w:val="24"/>
          <w:szCs w:val="24"/>
        </w:rPr>
        <w:tab/>
        <w:t xml:space="preserve">Тайлбар: - Энэ зүйлд заасан “хориг арга хэмжээ” гэж Нэгдсэн Үндэстний Байгууллагын Аюулгүйн зөвлөлийн тогтоолоор </w:t>
      </w:r>
      <w:r w:rsidR="00106F0E" w:rsidRPr="000D7717">
        <w:rPr>
          <w:rFonts w:ascii="Arial" w:hAnsi="Arial" w:cs="Arial"/>
          <w:sz w:val="24"/>
          <w:szCs w:val="24"/>
        </w:rPr>
        <w:t xml:space="preserve">баталсан </w:t>
      </w:r>
      <w:r w:rsidRPr="000D7717">
        <w:rPr>
          <w:rFonts w:ascii="Arial" w:hAnsi="Arial" w:cs="Arial"/>
          <w:sz w:val="24"/>
          <w:szCs w:val="24"/>
        </w:rPr>
        <w:t xml:space="preserve">үй олноор хөнөөх зэвсэг дэлгэрүүлэх </w:t>
      </w:r>
      <w:r w:rsidR="00D67194" w:rsidRPr="000D7717">
        <w:rPr>
          <w:rFonts w:ascii="Arial" w:hAnsi="Arial" w:cs="Arial"/>
          <w:sz w:val="24"/>
          <w:szCs w:val="24"/>
        </w:rPr>
        <w:t xml:space="preserve">болон терроризмтой </w:t>
      </w:r>
      <w:r w:rsidRPr="000D7717">
        <w:rPr>
          <w:rFonts w:ascii="Arial" w:hAnsi="Arial" w:cs="Arial"/>
          <w:sz w:val="24"/>
          <w:szCs w:val="24"/>
        </w:rPr>
        <w:t>тэмцэхтэй холбоотой санхүүгийн хориг арга хэмжээ, түүнчлэн Засгийн газраас терроризмтой тэмцэх чиг үүрэг бүхий байгууллагын саналыг үндэслэн баталсан жагсаалтад орсон хүн, хуулийн этгээдийн эсрэг санхүүгийн хориг арга хэмжээ авч хэрэгжүүлэхийг ойлгоно.</w:t>
      </w:r>
    </w:p>
    <w:p w14:paraId="7AB71813" w14:textId="77777777" w:rsidR="001676B2" w:rsidRPr="000D7717" w:rsidRDefault="001676B2" w:rsidP="001676B2">
      <w:pPr>
        <w:spacing w:after="0" w:line="240" w:lineRule="auto"/>
        <w:jc w:val="both"/>
        <w:rPr>
          <w:rFonts w:ascii="Arial" w:hAnsi="Arial" w:cs="Arial"/>
          <w:sz w:val="24"/>
          <w:szCs w:val="24"/>
        </w:rPr>
      </w:pPr>
    </w:p>
    <w:p w14:paraId="5C31CB13" w14:textId="6128E25D" w:rsidR="001676B2" w:rsidRPr="000D7717" w:rsidRDefault="004238CE" w:rsidP="001676B2">
      <w:pPr>
        <w:pStyle w:val="NormalWeb"/>
        <w:tabs>
          <w:tab w:val="left" w:pos="709"/>
        </w:tabs>
        <w:spacing w:before="0" w:beforeAutospacing="0" w:after="0" w:afterAutospacing="0"/>
        <w:jc w:val="both"/>
        <w:rPr>
          <w:rFonts w:ascii="Arial" w:hAnsi="Arial" w:cs="Arial"/>
        </w:rPr>
      </w:pPr>
      <w:r w:rsidRPr="000D7717">
        <w:rPr>
          <w:rFonts w:ascii="Arial" w:hAnsi="Arial" w:cs="Arial"/>
        </w:rPr>
        <w:tab/>
      </w:r>
      <w:r w:rsidR="001676B2" w:rsidRPr="000D7717">
        <w:rPr>
          <w:rFonts w:ascii="Arial" w:hAnsi="Arial" w:cs="Arial"/>
        </w:rPr>
        <w:t>- Энэ зүйлд заасан гэмт хэргийн талаар төрийн зохих байгууллагад сайн дураараа даруй мэдэгдсэн, учирч болзошгүй хохирлоос урьдчилан сэргийлэхэд туслалцаа үзүүлсэн иргэний үйлдэл нь өөр гэмт хэргийн шинжгүй бол ялаас чөлөөлнө. Энэ зүйлийн</w:t>
      </w:r>
      <w:r w:rsidR="00D922AE" w:rsidRPr="000D7717">
        <w:rPr>
          <w:rFonts w:ascii="Arial" w:hAnsi="Arial" w:cs="Arial"/>
        </w:rPr>
        <w:t xml:space="preserve"> </w:t>
      </w:r>
      <w:r w:rsidR="00234A65" w:rsidRPr="000D7717">
        <w:rPr>
          <w:rFonts w:ascii="Arial" w:hAnsi="Arial" w:cs="Arial"/>
        </w:rPr>
        <w:t>2</w:t>
      </w:r>
      <w:r w:rsidR="001676B2" w:rsidRPr="000D7717">
        <w:rPr>
          <w:rFonts w:ascii="Arial" w:hAnsi="Arial" w:cs="Arial"/>
        </w:rPr>
        <w:t>, 3 дахь хэсэгт энэ тайлбар хамаарахгүй.</w:t>
      </w:r>
      <w:r w:rsidR="00B86B4A" w:rsidRPr="000D7717">
        <w:rPr>
          <w:rFonts w:ascii="Arial" w:hAnsi="Arial" w:cs="Arial"/>
        </w:rPr>
        <w:t>”</w:t>
      </w:r>
    </w:p>
    <w:p w14:paraId="7D48836C" w14:textId="77777777" w:rsidR="001676B2" w:rsidRPr="000D7717" w:rsidRDefault="001676B2" w:rsidP="00CB65FF">
      <w:pPr>
        <w:pStyle w:val="NormalWeb"/>
        <w:tabs>
          <w:tab w:val="left" w:pos="709"/>
        </w:tabs>
        <w:spacing w:before="0" w:beforeAutospacing="0" w:after="0" w:afterAutospacing="0"/>
        <w:jc w:val="both"/>
        <w:rPr>
          <w:rFonts w:ascii="Arial" w:hAnsi="Arial" w:cs="Arial"/>
        </w:rPr>
      </w:pPr>
    </w:p>
    <w:p w14:paraId="61E6B92C" w14:textId="5E78CC3D" w:rsidR="001676B2" w:rsidRPr="000D7717" w:rsidRDefault="00A35D77" w:rsidP="00CB65FF">
      <w:pPr>
        <w:pStyle w:val="NormalWeb"/>
        <w:tabs>
          <w:tab w:val="left" w:pos="709"/>
        </w:tabs>
        <w:spacing w:before="0" w:beforeAutospacing="0" w:after="0" w:afterAutospacing="0"/>
        <w:jc w:val="both"/>
        <w:rPr>
          <w:rFonts w:ascii="Arial" w:hAnsi="Arial" w:cs="Arial"/>
        </w:rPr>
      </w:pPr>
      <w:r w:rsidRPr="000D7717">
        <w:rPr>
          <w:rStyle w:val="Strong"/>
          <w:rFonts w:ascii="Arial" w:hAnsi="Arial" w:cs="Arial"/>
          <w:b w:val="0"/>
        </w:rPr>
        <w:tab/>
      </w:r>
      <w:r w:rsidRPr="000D7717">
        <w:rPr>
          <w:rStyle w:val="Strong"/>
          <w:rFonts w:ascii="Arial" w:hAnsi="Arial" w:cs="Arial"/>
        </w:rPr>
        <w:t>4 дүгээр зүйл.</w:t>
      </w:r>
      <w:r w:rsidRPr="000D7717">
        <w:rPr>
          <w:rFonts w:ascii="Arial" w:hAnsi="Arial" w:cs="Arial"/>
        </w:rPr>
        <w:t>Эрүүгийн хуулийн 20.1 дүгээр зүйлийн гарчгийг “Террорист үйлдлийн талаар зориуд худал мэдээлэх” гэж, 29.8 дугаар зүйлийн гарчгийг “Террорист үйлдэл хийх” гэж, 29.9 дүгээр зүйлийн гарчгийг “Террорист үйлдэлд бэлтгэх” гэж, мөн зүйлийн 1 дэх хэсгийн “Террор” гэснийг “Террорист” гэж, мөн зүйлийн тайлбар хэсгийн “Террор ажиллагааг” гэснийг “Террорист үйлдлийг” гэж, “террор ажиллагааг” гэснийг “террорист үйлдлийг” гэж, 29.11 дүгээр зүйлийн 2 дахь хэсгийн “торгох ял шийтгэнэ.” гэснийг “торгож, хуулийн этгээдийг албадан татан буулгана.” гэж тус тус өөрчилсүгэй.</w:t>
      </w:r>
    </w:p>
    <w:p w14:paraId="2B11BC43" w14:textId="77777777" w:rsidR="0069698E" w:rsidRPr="000D7717" w:rsidRDefault="0069698E" w:rsidP="0069698E">
      <w:pPr>
        <w:pStyle w:val="NormalWeb"/>
        <w:spacing w:before="0" w:beforeAutospacing="0" w:after="0" w:afterAutospacing="0"/>
        <w:jc w:val="both"/>
        <w:rPr>
          <w:rFonts w:ascii="Arial" w:hAnsi="Arial" w:cs="Arial"/>
        </w:rPr>
      </w:pPr>
    </w:p>
    <w:p w14:paraId="7F058443" w14:textId="06310CBE" w:rsidR="00AD602C" w:rsidRPr="000D7717" w:rsidRDefault="00AD602C" w:rsidP="0069698E">
      <w:pPr>
        <w:pStyle w:val="NormalWeb"/>
        <w:spacing w:before="0" w:beforeAutospacing="0" w:after="0" w:afterAutospacing="0"/>
        <w:jc w:val="both"/>
        <w:rPr>
          <w:rFonts w:ascii="Arial" w:hAnsi="Arial" w:cs="Arial"/>
        </w:rPr>
      </w:pPr>
      <w:r w:rsidRPr="000D7717">
        <w:rPr>
          <w:rFonts w:ascii="Arial" w:hAnsi="Arial" w:cs="Arial"/>
          <w:color w:val="FF0000"/>
        </w:rPr>
        <w:tab/>
      </w:r>
      <w:r w:rsidR="0069698E" w:rsidRPr="000D7717">
        <w:rPr>
          <w:rFonts w:ascii="Arial" w:hAnsi="Arial" w:cs="Arial"/>
          <w:b/>
          <w:color w:val="000000" w:themeColor="text1"/>
        </w:rPr>
        <w:t xml:space="preserve">5 дугаар </w:t>
      </w:r>
      <w:r w:rsidRPr="000D7717">
        <w:rPr>
          <w:rFonts w:ascii="Arial" w:hAnsi="Arial" w:cs="Arial"/>
          <w:b/>
          <w:color w:val="000000" w:themeColor="text1"/>
        </w:rPr>
        <w:t>зүйл.</w:t>
      </w:r>
      <w:r w:rsidRPr="000D7717">
        <w:rPr>
          <w:rFonts w:ascii="Arial" w:hAnsi="Arial" w:cs="Arial"/>
        </w:rPr>
        <w:t>Энэ хуулийг Үй олноор хөнөөх зэвсэг дэлгэрүүлэх болон терроризмтой тэмцэх тухай хууль</w:t>
      </w:r>
      <w:r w:rsidR="00A733DE" w:rsidRPr="000D7717">
        <w:rPr>
          <w:rFonts w:ascii="Arial" w:hAnsi="Arial" w:cs="Arial"/>
        </w:rPr>
        <w:t xml:space="preserve"> /Шинэчилсэн найруулга/</w:t>
      </w:r>
      <w:r w:rsidRPr="000D7717">
        <w:rPr>
          <w:rFonts w:ascii="Arial" w:hAnsi="Arial" w:cs="Arial"/>
        </w:rPr>
        <w:t xml:space="preserve"> хүчин төгөлдөр болсон өдрөөс эхлэн дагаж мөрдөнө.</w:t>
      </w:r>
    </w:p>
    <w:p w14:paraId="22C28FB2" w14:textId="1D0F5BC2" w:rsidR="00594050" w:rsidRPr="000D7717" w:rsidRDefault="00594050" w:rsidP="0069698E">
      <w:pPr>
        <w:pStyle w:val="NormalWeb"/>
        <w:spacing w:before="0" w:beforeAutospacing="0" w:after="0" w:afterAutospacing="0"/>
        <w:jc w:val="both"/>
        <w:rPr>
          <w:rFonts w:ascii="Arial" w:hAnsi="Arial" w:cs="Arial"/>
        </w:rPr>
      </w:pPr>
    </w:p>
    <w:p w14:paraId="713FEEE0" w14:textId="3CBBF991" w:rsidR="00594050" w:rsidRPr="000D7717" w:rsidRDefault="00594050" w:rsidP="0069698E">
      <w:pPr>
        <w:pStyle w:val="NormalWeb"/>
        <w:spacing w:before="0" w:beforeAutospacing="0" w:after="0" w:afterAutospacing="0"/>
        <w:jc w:val="both"/>
        <w:rPr>
          <w:rFonts w:ascii="Arial" w:hAnsi="Arial" w:cs="Arial"/>
        </w:rPr>
      </w:pPr>
    </w:p>
    <w:p w14:paraId="126202A0" w14:textId="550B6A86" w:rsidR="00594050" w:rsidRPr="000D7717" w:rsidRDefault="00594050" w:rsidP="0069698E">
      <w:pPr>
        <w:pStyle w:val="NormalWeb"/>
        <w:spacing w:before="0" w:beforeAutospacing="0" w:after="0" w:afterAutospacing="0"/>
        <w:jc w:val="both"/>
        <w:rPr>
          <w:rFonts w:ascii="Arial" w:hAnsi="Arial" w:cs="Arial"/>
        </w:rPr>
      </w:pPr>
    </w:p>
    <w:p w14:paraId="32026B93" w14:textId="21E5B887" w:rsidR="00594050" w:rsidRPr="000D7717" w:rsidRDefault="00594050" w:rsidP="0069698E">
      <w:pPr>
        <w:pStyle w:val="NormalWeb"/>
        <w:spacing w:before="0" w:beforeAutospacing="0" w:after="0" w:afterAutospacing="0"/>
        <w:jc w:val="both"/>
        <w:rPr>
          <w:rFonts w:ascii="Arial" w:hAnsi="Arial" w:cs="Arial"/>
        </w:rPr>
      </w:pPr>
    </w:p>
    <w:p w14:paraId="04E4C985" w14:textId="1D169A4F" w:rsidR="00594050" w:rsidRPr="000D7717" w:rsidRDefault="00594050" w:rsidP="0069698E">
      <w:pPr>
        <w:pStyle w:val="NormalWeb"/>
        <w:spacing w:before="0" w:beforeAutospacing="0" w:after="0" w:afterAutospacing="0"/>
        <w:jc w:val="both"/>
        <w:rPr>
          <w:rFonts w:ascii="Arial" w:hAnsi="Arial" w:cs="Arial"/>
        </w:rPr>
      </w:pPr>
      <w:r w:rsidRPr="000D7717">
        <w:rPr>
          <w:rFonts w:ascii="Arial" w:hAnsi="Arial" w:cs="Arial"/>
        </w:rPr>
        <w:tab/>
      </w:r>
      <w:r w:rsidRPr="000D7717">
        <w:rPr>
          <w:rFonts w:ascii="Arial" w:hAnsi="Arial" w:cs="Arial"/>
        </w:rPr>
        <w:tab/>
        <w:t xml:space="preserve">МОНГОЛ УЛСЫН </w:t>
      </w:r>
    </w:p>
    <w:p w14:paraId="7ECCD7E8" w14:textId="4907935B" w:rsidR="000C6D6B" w:rsidRPr="000D7717" w:rsidRDefault="00594050" w:rsidP="005A13BB">
      <w:pPr>
        <w:pStyle w:val="NormalWeb"/>
        <w:spacing w:before="0" w:beforeAutospacing="0" w:after="0" w:afterAutospacing="0"/>
        <w:jc w:val="both"/>
        <w:rPr>
          <w:rFonts w:ascii="Arial" w:hAnsi="Arial" w:cs="Arial"/>
        </w:rPr>
      </w:pPr>
      <w:r w:rsidRPr="000D7717">
        <w:rPr>
          <w:rFonts w:ascii="Arial" w:hAnsi="Arial" w:cs="Arial"/>
        </w:rPr>
        <w:tab/>
      </w:r>
      <w:r w:rsidRPr="000D7717">
        <w:rPr>
          <w:rFonts w:ascii="Arial" w:hAnsi="Arial" w:cs="Arial"/>
        </w:rPr>
        <w:tab/>
        <w:t xml:space="preserve">ИХ ХУРЛЫН ДАРГА </w:t>
      </w:r>
      <w:r w:rsidRPr="000D7717">
        <w:rPr>
          <w:rFonts w:ascii="Arial" w:hAnsi="Arial" w:cs="Arial"/>
        </w:rPr>
        <w:tab/>
      </w:r>
      <w:r w:rsidRPr="000D7717">
        <w:rPr>
          <w:rFonts w:ascii="Arial" w:hAnsi="Arial" w:cs="Arial"/>
        </w:rPr>
        <w:tab/>
      </w:r>
      <w:r w:rsidRPr="000D7717">
        <w:rPr>
          <w:rFonts w:ascii="Arial" w:hAnsi="Arial" w:cs="Arial"/>
        </w:rPr>
        <w:tab/>
      </w:r>
      <w:r w:rsidRPr="000D7717">
        <w:rPr>
          <w:rFonts w:ascii="Arial" w:hAnsi="Arial" w:cs="Arial"/>
        </w:rPr>
        <w:tab/>
        <w:t xml:space="preserve">Г.ЗАНДАНШАТАР </w:t>
      </w:r>
    </w:p>
    <w:sectPr w:rsidR="000C6D6B" w:rsidRPr="000D7717" w:rsidSect="004D70DE">
      <w:footerReference w:type="even" r:id="rId9"/>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7B521" w14:textId="77777777" w:rsidR="00A40BCE" w:rsidRDefault="00A40BCE">
      <w:pPr>
        <w:spacing w:after="0" w:line="240" w:lineRule="auto"/>
      </w:pPr>
      <w:r>
        <w:separator/>
      </w:r>
    </w:p>
  </w:endnote>
  <w:endnote w:type="continuationSeparator" w:id="0">
    <w:p w14:paraId="078E90C0" w14:textId="77777777" w:rsidR="00A40BCE" w:rsidRDefault="00A4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NewtonCTT">
    <w:altName w:val="Times New Roman"/>
    <w:panose1 w:val="00000000000000000000"/>
    <w:charset w:val="00"/>
    <w:family w:val="auto"/>
    <w:notTrueType/>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Times New Roman Mon">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B5C4D" w14:textId="77777777" w:rsidR="00B66E97" w:rsidRDefault="00B66E97" w:rsidP="007162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CE8CC5" w14:textId="77777777" w:rsidR="00B66E97" w:rsidRDefault="00B66E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10193" w14:textId="77777777" w:rsidR="00B66E97" w:rsidRPr="00C044CB" w:rsidRDefault="00B66E97" w:rsidP="00716236">
    <w:pPr>
      <w:pStyle w:val="Footer"/>
      <w:framePr w:wrap="none" w:vAnchor="text" w:hAnchor="margin" w:xAlign="center" w:y="1"/>
      <w:rPr>
        <w:rStyle w:val="PageNumber"/>
        <w:rFonts w:ascii="Arial" w:hAnsi="Arial" w:cs="Arial"/>
        <w:sz w:val="20"/>
        <w:szCs w:val="20"/>
      </w:rPr>
    </w:pPr>
    <w:r>
      <w:rPr>
        <w:rStyle w:val="PageNumber"/>
      </w:rPr>
      <w:fldChar w:fldCharType="begin"/>
    </w:r>
    <w:r>
      <w:rPr>
        <w:rStyle w:val="PageNumber"/>
      </w:rPr>
      <w:instrText xml:space="preserve">PAGE  </w:instrText>
    </w:r>
    <w:r>
      <w:rPr>
        <w:rStyle w:val="PageNumber"/>
      </w:rPr>
      <w:fldChar w:fldCharType="separate"/>
    </w:r>
    <w:r w:rsidR="005A13BB">
      <w:rPr>
        <w:rStyle w:val="PageNumber"/>
        <w:noProof/>
      </w:rPr>
      <w:t>1</w:t>
    </w:r>
    <w:r>
      <w:rPr>
        <w:rStyle w:val="PageNumber"/>
      </w:rPr>
      <w:fldChar w:fldCharType="end"/>
    </w:r>
  </w:p>
  <w:p w14:paraId="4D4F4F46" w14:textId="77777777" w:rsidR="00B66E97" w:rsidRDefault="00B66E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27301" w14:textId="77777777" w:rsidR="00A40BCE" w:rsidRDefault="00A40BCE">
      <w:pPr>
        <w:spacing w:after="0" w:line="240" w:lineRule="auto"/>
      </w:pPr>
      <w:r>
        <w:separator/>
      </w:r>
    </w:p>
  </w:footnote>
  <w:footnote w:type="continuationSeparator" w:id="0">
    <w:p w14:paraId="729C015E" w14:textId="77777777" w:rsidR="00A40BCE" w:rsidRDefault="00A40BC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E1F75"/>
    <w:multiLevelType w:val="hybridMultilevel"/>
    <w:tmpl w:val="10BEC5E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4931FB"/>
    <w:multiLevelType w:val="multilevel"/>
    <w:tmpl w:val="BEDA5862"/>
    <w:lvl w:ilvl="0">
      <w:start w:val="1"/>
      <w:numFmt w:val="decimal"/>
      <w:lvlText w:val="%1."/>
      <w:lvlJc w:val="left"/>
      <w:pPr>
        <w:ind w:left="720"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41AC28A3"/>
    <w:multiLevelType w:val="multilevel"/>
    <w:tmpl w:val="BA18BB3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D361C15"/>
    <w:multiLevelType w:val="hybridMultilevel"/>
    <w:tmpl w:val="0502750A"/>
    <w:lvl w:ilvl="0" w:tplc="21505040">
      <w:start w:val="1"/>
      <w:numFmt w:val="decimal"/>
      <w:lvlText w:val="%1."/>
      <w:lvlJc w:val="left"/>
      <w:pPr>
        <w:ind w:left="1800" w:hanging="360"/>
      </w:pPr>
      <w:rPr>
        <w:rFonts w:hint="default"/>
      </w:rPr>
    </w:lvl>
    <w:lvl w:ilvl="1" w:tplc="04500019" w:tentative="1">
      <w:start w:val="1"/>
      <w:numFmt w:val="lowerLetter"/>
      <w:lvlText w:val="%2."/>
      <w:lvlJc w:val="left"/>
      <w:pPr>
        <w:ind w:left="2520" w:hanging="360"/>
      </w:pPr>
    </w:lvl>
    <w:lvl w:ilvl="2" w:tplc="0450001B" w:tentative="1">
      <w:start w:val="1"/>
      <w:numFmt w:val="lowerRoman"/>
      <w:lvlText w:val="%3."/>
      <w:lvlJc w:val="right"/>
      <w:pPr>
        <w:ind w:left="3240" w:hanging="180"/>
      </w:pPr>
    </w:lvl>
    <w:lvl w:ilvl="3" w:tplc="0450000F" w:tentative="1">
      <w:start w:val="1"/>
      <w:numFmt w:val="decimal"/>
      <w:lvlText w:val="%4."/>
      <w:lvlJc w:val="left"/>
      <w:pPr>
        <w:ind w:left="3960" w:hanging="360"/>
      </w:pPr>
    </w:lvl>
    <w:lvl w:ilvl="4" w:tplc="04500019" w:tentative="1">
      <w:start w:val="1"/>
      <w:numFmt w:val="lowerLetter"/>
      <w:lvlText w:val="%5."/>
      <w:lvlJc w:val="left"/>
      <w:pPr>
        <w:ind w:left="4680" w:hanging="360"/>
      </w:pPr>
    </w:lvl>
    <w:lvl w:ilvl="5" w:tplc="0450001B" w:tentative="1">
      <w:start w:val="1"/>
      <w:numFmt w:val="lowerRoman"/>
      <w:lvlText w:val="%6."/>
      <w:lvlJc w:val="right"/>
      <w:pPr>
        <w:ind w:left="5400" w:hanging="180"/>
      </w:pPr>
    </w:lvl>
    <w:lvl w:ilvl="6" w:tplc="0450000F" w:tentative="1">
      <w:start w:val="1"/>
      <w:numFmt w:val="decimal"/>
      <w:lvlText w:val="%7."/>
      <w:lvlJc w:val="left"/>
      <w:pPr>
        <w:ind w:left="6120" w:hanging="360"/>
      </w:pPr>
    </w:lvl>
    <w:lvl w:ilvl="7" w:tplc="04500019" w:tentative="1">
      <w:start w:val="1"/>
      <w:numFmt w:val="lowerLetter"/>
      <w:lvlText w:val="%8."/>
      <w:lvlJc w:val="left"/>
      <w:pPr>
        <w:ind w:left="6840" w:hanging="360"/>
      </w:pPr>
    </w:lvl>
    <w:lvl w:ilvl="8" w:tplc="0450001B" w:tentative="1">
      <w:start w:val="1"/>
      <w:numFmt w:val="lowerRoman"/>
      <w:lvlText w:val="%9."/>
      <w:lvlJc w:val="right"/>
      <w:pPr>
        <w:ind w:left="7560" w:hanging="180"/>
      </w:pPr>
    </w:lvl>
  </w:abstractNum>
  <w:abstractNum w:abstractNumId="4">
    <w:nsid w:val="65C33A7E"/>
    <w:multiLevelType w:val="hybridMultilevel"/>
    <w:tmpl w:val="37BC9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DA2DC3"/>
    <w:multiLevelType w:val="hybridMultilevel"/>
    <w:tmpl w:val="838E4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FB"/>
    <w:rsid w:val="000A6722"/>
    <w:rsid w:val="000C464E"/>
    <w:rsid w:val="000C6D6B"/>
    <w:rsid w:val="000D42CE"/>
    <w:rsid w:val="000D7717"/>
    <w:rsid w:val="000E6BB5"/>
    <w:rsid w:val="00106F0E"/>
    <w:rsid w:val="001110B4"/>
    <w:rsid w:val="0014191E"/>
    <w:rsid w:val="00153E85"/>
    <w:rsid w:val="001676B2"/>
    <w:rsid w:val="001810EB"/>
    <w:rsid w:val="00215AA1"/>
    <w:rsid w:val="00220CC6"/>
    <w:rsid w:val="002313FF"/>
    <w:rsid w:val="00234A65"/>
    <w:rsid w:val="00253398"/>
    <w:rsid w:val="0026494C"/>
    <w:rsid w:val="0027571F"/>
    <w:rsid w:val="002805E4"/>
    <w:rsid w:val="00284696"/>
    <w:rsid w:val="002C65FA"/>
    <w:rsid w:val="00316715"/>
    <w:rsid w:val="00373391"/>
    <w:rsid w:val="0039382F"/>
    <w:rsid w:val="003B16B1"/>
    <w:rsid w:val="00406E28"/>
    <w:rsid w:val="004238CE"/>
    <w:rsid w:val="00484548"/>
    <w:rsid w:val="004D38E1"/>
    <w:rsid w:val="004D70DE"/>
    <w:rsid w:val="00503769"/>
    <w:rsid w:val="005568A7"/>
    <w:rsid w:val="00594050"/>
    <w:rsid w:val="005A13BB"/>
    <w:rsid w:val="005A2228"/>
    <w:rsid w:val="005E0D85"/>
    <w:rsid w:val="00617ACD"/>
    <w:rsid w:val="0069090D"/>
    <w:rsid w:val="0069698E"/>
    <w:rsid w:val="006A7CC5"/>
    <w:rsid w:val="00704D01"/>
    <w:rsid w:val="00717B0B"/>
    <w:rsid w:val="007B516E"/>
    <w:rsid w:val="007B68AC"/>
    <w:rsid w:val="007E1055"/>
    <w:rsid w:val="00825D4D"/>
    <w:rsid w:val="008359A0"/>
    <w:rsid w:val="00860CB9"/>
    <w:rsid w:val="008A2A88"/>
    <w:rsid w:val="008C35D0"/>
    <w:rsid w:val="008D07B7"/>
    <w:rsid w:val="009E562C"/>
    <w:rsid w:val="00A35D77"/>
    <w:rsid w:val="00A40BCE"/>
    <w:rsid w:val="00A425DF"/>
    <w:rsid w:val="00A50CEA"/>
    <w:rsid w:val="00A733DE"/>
    <w:rsid w:val="00A85035"/>
    <w:rsid w:val="00AB1EEE"/>
    <w:rsid w:val="00AD602C"/>
    <w:rsid w:val="00B0351F"/>
    <w:rsid w:val="00B10082"/>
    <w:rsid w:val="00B1552B"/>
    <w:rsid w:val="00B2184D"/>
    <w:rsid w:val="00B307E5"/>
    <w:rsid w:val="00B50D1E"/>
    <w:rsid w:val="00B615A2"/>
    <w:rsid w:val="00B66E97"/>
    <w:rsid w:val="00B67ACF"/>
    <w:rsid w:val="00B820CF"/>
    <w:rsid w:val="00B86B4A"/>
    <w:rsid w:val="00BA01C2"/>
    <w:rsid w:val="00BC793A"/>
    <w:rsid w:val="00BE38BD"/>
    <w:rsid w:val="00C044CB"/>
    <w:rsid w:val="00C25B1A"/>
    <w:rsid w:val="00C50EDB"/>
    <w:rsid w:val="00C64F3B"/>
    <w:rsid w:val="00C8370F"/>
    <w:rsid w:val="00CA778D"/>
    <w:rsid w:val="00CB65FF"/>
    <w:rsid w:val="00D03EA7"/>
    <w:rsid w:val="00D67194"/>
    <w:rsid w:val="00D922AE"/>
    <w:rsid w:val="00DC1DFB"/>
    <w:rsid w:val="00DE1A1A"/>
    <w:rsid w:val="00DE2272"/>
    <w:rsid w:val="00E10D49"/>
    <w:rsid w:val="00EB528D"/>
    <w:rsid w:val="00F405CD"/>
    <w:rsid w:val="00F64BAC"/>
    <w:rsid w:val="00F86F57"/>
    <w:rsid w:val="00F95C1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779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40" w:lineRule="auto"/>
      <w:outlineLvl w:val="0"/>
    </w:pPr>
    <w:rPr>
      <w:rFonts w:asciiTheme="majorHAnsi" w:eastAsiaTheme="majorEastAsia" w:hAnsiTheme="majorHAnsi" w:cstheme="majorBidi"/>
      <w:b/>
      <w:bCs/>
      <w:color w:val="2C6EAB" w:themeColor="accent1" w:themeShade="B5"/>
      <w:sz w:val="32"/>
      <w:szCs w:val="32"/>
      <w:lang w:val="en-GB"/>
    </w:rPr>
  </w:style>
  <w:style w:type="paragraph" w:styleId="Heading2">
    <w:name w:val="heading 2"/>
    <w:basedOn w:val="Normal"/>
    <w:next w:val="Normal"/>
    <w:link w:val="Heading2Char"/>
    <w:uiPriority w:val="9"/>
    <w:unhideWhenUsed/>
    <w:qFormat/>
    <w:rsid w:val="000C6D6B"/>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pPr>
      <w:keepNext/>
      <w:keepLines/>
      <w:spacing w:after="0" w:line="240" w:lineRule="auto"/>
      <w:outlineLvl w:val="2"/>
    </w:pPr>
    <w:rPr>
      <w:rFonts w:eastAsiaTheme="majorEastAsia" w:cstheme="majorBidi"/>
      <w:b/>
      <w:bCs/>
      <w:color w:val="000000" w:themeColor="text1"/>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C6EAB" w:themeColor="accent1" w:themeShade="B5"/>
      <w:sz w:val="32"/>
      <w:szCs w:val="32"/>
      <w:lang w:val="en-GB"/>
    </w:rPr>
  </w:style>
  <w:style w:type="character" w:customStyle="1" w:styleId="Heading3Char">
    <w:name w:val="Heading 3 Char"/>
    <w:basedOn w:val="DefaultParagraphFont"/>
    <w:link w:val="Heading3"/>
    <w:uiPriority w:val="9"/>
    <w:rPr>
      <w:rFonts w:eastAsiaTheme="majorEastAsia" w:cstheme="majorBidi"/>
      <w:b/>
      <w:bCs/>
      <w:color w:val="000000" w:themeColor="text1"/>
      <w:sz w:val="20"/>
      <w:szCs w:val="20"/>
      <w:lang w:val="en-GB"/>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mn-MN"/>
    </w:rPr>
  </w:style>
  <w:style w:type="paragraph" w:customStyle="1" w:styleId="msghead">
    <w:name w:val="msg_head"/>
    <w:basedOn w:val="Normal"/>
    <w:pPr>
      <w:spacing w:before="100" w:beforeAutospacing="1" w:after="100" w:afterAutospacing="1" w:line="240" w:lineRule="auto"/>
    </w:pPr>
    <w:rPr>
      <w:rFonts w:ascii="Times New Roman" w:eastAsiaTheme="minorEastAsia" w:hAnsi="Times New Roman" w:cs="Times New Roman"/>
      <w:sz w:val="24"/>
      <w:szCs w:val="24"/>
      <w:lang w:eastAsia="mn-MN"/>
    </w:rPr>
  </w:style>
  <w:style w:type="character" w:styleId="Emphasis">
    <w:name w:val="Emphasis"/>
    <w:basedOn w:val="DefaultParagraphFont"/>
    <w:uiPriority w:val="20"/>
    <w:qFormat/>
    <w:rPr>
      <w:i/>
      <w:iCs/>
    </w:rPr>
  </w:style>
  <w:style w:type="character" w:styleId="Hyperlink">
    <w:name w:val="Hyperlink"/>
    <w:basedOn w:val="DefaultParagraphFont"/>
    <w:unhideWhenUsed/>
    <w:rPr>
      <w:color w:val="0000FF"/>
      <w:u w:val="single"/>
    </w:rPr>
  </w:style>
  <w:style w:type="paragraph" w:styleId="BodyTextIndent2">
    <w:name w:val="Body Text Indent 2"/>
    <w:basedOn w:val="Normal"/>
    <w:link w:val="BodyTextIndent2Char"/>
    <w:uiPriority w:val="99"/>
    <w:semiHidden/>
    <w:unhideWhenUsed/>
    <w:pPr>
      <w:spacing w:after="0" w:line="240" w:lineRule="auto"/>
      <w:ind w:firstLine="1440"/>
      <w:jc w:val="both"/>
    </w:pPr>
    <w:rPr>
      <w:rFonts w:ascii="NewtonCTT" w:eastAsia="Times New Roman" w:hAnsi="NewtonCTT" w:cs="Times New Roman"/>
      <w:sz w:val="24"/>
      <w:szCs w:val="24"/>
      <w:lang w:val="en-US"/>
    </w:rPr>
  </w:style>
  <w:style w:type="character" w:customStyle="1" w:styleId="BodyTextIndent2Char">
    <w:name w:val="Body Text Indent 2 Char"/>
    <w:basedOn w:val="DefaultParagraphFont"/>
    <w:link w:val="BodyTextIndent2"/>
    <w:uiPriority w:val="99"/>
    <w:semiHidden/>
    <w:rPr>
      <w:rFonts w:ascii="NewtonCTT" w:eastAsia="Times New Roman" w:hAnsi="NewtonCTT" w:cs="Times New Roman"/>
      <w:sz w:val="24"/>
      <w:szCs w:val="24"/>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C6D6B"/>
    <w:rPr>
      <w:rFonts w:asciiTheme="majorHAnsi" w:eastAsiaTheme="majorEastAsia" w:hAnsiTheme="majorHAnsi" w:cstheme="majorBidi"/>
      <w:color w:val="2E74B5" w:themeColor="accent1" w:themeShade="BF"/>
      <w:sz w:val="26"/>
      <w:szCs w:val="26"/>
      <w:lang w:val="en-US"/>
    </w:rPr>
  </w:style>
  <w:style w:type="character" w:customStyle="1" w:styleId="highlight">
    <w:name w:val="highlight"/>
    <w:basedOn w:val="DefaultParagraphFont"/>
    <w:rsid w:val="000C6D6B"/>
  </w:style>
  <w:style w:type="character" w:styleId="PageNumber">
    <w:name w:val="page number"/>
    <w:basedOn w:val="DefaultParagraphFont"/>
    <w:uiPriority w:val="99"/>
    <w:semiHidden/>
    <w:unhideWhenUsed/>
    <w:rsid w:val="00B66E97"/>
  </w:style>
  <w:style w:type="paragraph" w:styleId="Title">
    <w:name w:val="Title"/>
    <w:basedOn w:val="Normal"/>
    <w:link w:val="TitleChar"/>
    <w:qFormat/>
    <w:rsid w:val="005A13BB"/>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5A13BB"/>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451507">
      <w:bodyDiv w:val="1"/>
      <w:marLeft w:val="0"/>
      <w:marRight w:val="0"/>
      <w:marTop w:val="0"/>
      <w:marBottom w:val="0"/>
      <w:divBdr>
        <w:top w:val="none" w:sz="0" w:space="0" w:color="auto"/>
        <w:left w:val="none" w:sz="0" w:space="0" w:color="auto"/>
        <w:bottom w:val="none" w:sz="0" w:space="0" w:color="auto"/>
        <w:right w:val="none" w:sz="0" w:space="0" w:color="auto"/>
      </w:divBdr>
      <w:divsChild>
        <w:div w:id="1664433997">
          <w:marLeft w:val="0"/>
          <w:marRight w:val="0"/>
          <w:marTop w:val="0"/>
          <w:marBottom w:val="0"/>
          <w:divBdr>
            <w:top w:val="none" w:sz="0" w:space="0" w:color="auto"/>
            <w:left w:val="none" w:sz="0" w:space="0" w:color="auto"/>
            <w:bottom w:val="none" w:sz="0" w:space="0" w:color="auto"/>
            <w:right w:val="none" w:sz="0" w:space="0" w:color="auto"/>
          </w:divBdr>
        </w:div>
        <w:div w:id="855727332">
          <w:marLeft w:val="0"/>
          <w:marRight w:val="0"/>
          <w:marTop w:val="0"/>
          <w:marBottom w:val="0"/>
          <w:divBdr>
            <w:top w:val="none" w:sz="0" w:space="0" w:color="auto"/>
            <w:left w:val="none" w:sz="0" w:space="0" w:color="auto"/>
            <w:bottom w:val="none" w:sz="0" w:space="0" w:color="auto"/>
            <w:right w:val="none" w:sz="0" w:space="0" w:color="auto"/>
          </w:divBdr>
          <w:divsChild>
            <w:div w:id="166407699">
              <w:marLeft w:val="375"/>
              <w:marRight w:val="0"/>
              <w:marTop w:val="0"/>
              <w:marBottom w:val="0"/>
              <w:divBdr>
                <w:top w:val="none" w:sz="0" w:space="0" w:color="auto"/>
                <w:left w:val="none" w:sz="0" w:space="0" w:color="auto"/>
                <w:bottom w:val="none" w:sz="0" w:space="0" w:color="auto"/>
                <w:right w:val="none" w:sz="0" w:space="0" w:color="auto"/>
              </w:divBdr>
            </w:div>
          </w:divsChild>
        </w:div>
        <w:div w:id="210967808">
          <w:marLeft w:val="0"/>
          <w:marRight w:val="0"/>
          <w:marTop w:val="0"/>
          <w:marBottom w:val="0"/>
          <w:divBdr>
            <w:top w:val="none" w:sz="0" w:space="0" w:color="auto"/>
            <w:left w:val="none" w:sz="0" w:space="0" w:color="auto"/>
            <w:bottom w:val="none" w:sz="0" w:space="0" w:color="auto"/>
            <w:right w:val="none" w:sz="0" w:space="0" w:color="auto"/>
          </w:divBdr>
          <w:divsChild>
            <w:div w:id="875700807">
              <w:marLeft w:val="375"/>
              <w:marRight w:val="0"/>
              <w:marTop w:val="0"/>
              <w:marBottom w:val="0"/>
              <w:divBdr>
                <w:top w:val="none" w:sz="0" w:space="0" w:color="auto"/>
                <w:left w:val="none" w:sz="0" w:space="0" w:color="auto"/>
                <w:bottom w:val="none" w:sz="0" w:space="0" w:color="auto"/>
                <w:right w:val="none" w:sz="0" w:space="0" w:color="auto"/>
              </w:divBdr>
            </w:div>
          </w:divsChild>
        </w:div>
        <w:div w:id="1550876116">
          <w:marLeft w:val="0"/>
          <w:marRight w:val="0"/>
          <w:marTop w:val="0"/>
          <w:marBottom w:val="0"/>
          <w:divBdr>
            <w:top w:val="none" w:sz="0" w:space="0" w:color="auto"/>
            <w:left w:val="none" w:sz="0" w:space="0" w:color="auto"/>
            <w:bottom w:val="none" w:sz="0" w:space="0" w:color="auto"/>
            <w:right w:val="none" w:sz="0" w:space="0" w:color="auto"/>
          </w:divBdr>
          <w:divsChild>
            <w:div w:id="340859875">
              <w:marLeft w:val="375"/>
              <w:marRight w:val="0"/>
              <w:marTop w:val="0"/>
              <w:marBottom w:val="0"/>
              <w:divBdr>
                <w:top w:val="none" w:sz="0" w:space="0" w:color="auto"/>
                <w:left w:val="none" w:sz="0" w:space="0" w:color="auto"/>
                <w:bottom w:val="none" w:sz="0" w:space="0" w:color="auto"/>
                <w:right w:val="none" w:sz="0" w:space="0" w:color="auto"/>
              </w:divBdr>
            </w:div>
          </w:divsChild>
        </w:div>
        <w:div w:id="1091851043">
          <w:marLeft w:val="0"/>
          <w:marRight w:val="0"/>
          <w:marTop w:val="0"/>
          <w:marBottom w:val="0"/>
          <w:divBdr>
            <w:top w:val="none" w:sz="0" w:space="0" w:color="auto"/>
            <w:left w:val="none" w:sz="0" w:space="0" w:color="auto"/>
            <w:bottom w:val="none" w:sz="0" w:space="0" w:color="auto"/>
            <w:right w:val="none" w:sz="0" w:space="0" w:color="auto"/>
          </w:divBdr>
          <w:divsChild>
            <w:div w:id="1834293925">
              <w:marLeft w:val="375"/>
              <w:marRight w:val="0"/>
              <w:marTop w:val="0"/>
              <w:marBottom w:val="0"/>
              <w:divBdr>
                <w:top w:val="none" w:sz="0" w:space="0" w:color="auto"/>
                <w:left w:val="none" w:sz="0" w:space="0" w:color="auto"/>
                <w:bottom w:val="none" w:sz="0" w:space="0" w:color="auto"/>
                <w:right w:val="none" w:sz="0" w:space="0" w:color="auto"/>
              </w:divBdr>
            </w:div>
          </w:divsChild>
        </w:div>
        <w:div w:id="1244221178">
          <w:marLeft w:val="0"/>
          <w:marRight w:val="0"/>
          <w:marTop w:val="0"/>
          <w:marBottom w:val="0"/>
          <w:divBdr>
            <w:top w:val="none" w:sz="0" w:space="0" w:color="auto"/>
            <w:left w:val="none" w:sz="0" w:space="0" w:color="auto"/>
            <w:bottom w:val="none" w:sz="0" w:space="0" w:color="auto"/>
            <w:right w:val="none" w:sz="0" w:space="0" w:color="auto"/>
          </w:divBdr>
          <w:divsChild>
            <w:div w:id="2011057783">
              <w:marLeft w:val="375"/>
              <w:marRight w:val="0"/>
              <w:marTop w:val="0"/>
              <w:marBottom w:val="0"/>
              <w:divBdr>
                <w:top w:val="none" w:sz="0" w:space="0" w:color="auto"/>
                <w:left w:val="none" w:sz="0" w:space="0" w:color="auto"/>
                <w:bottom w:val="none" w:sz="0" w:space="0" w:color="auto"/>
                <w:right w:val="none" w:sz="0" w:space="0" w:color="auto"/>
              </w:divBdr>
            </w:div>
          </w:divsChild>
        </w:div>
        <w:div w:id="1854296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123AB-3F89-0F40-B0D6-011B30CD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663</Words>
  <Characters>3785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2019-10-21T05:01:00Z</cp:lastPrinted>
  <dcterms:created xsi:type="dcterms:W3CDTF">2019-10-30T02:09:00Z</dcterms:created>
  <dcterms:modified xsi:type="dcterms:W3CDTF">2019-10-30T02:09:00Z</dcterms:modified>
</cp:coreProperties>
</file>